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DCBB4" w14:textId="6DCFAFA8" w:rsidR="007445AB" w:rsidRDefault="007445AB" w:rsidP="007E4B77">
      <w:pPr>
        <w:jc w:val="both"/>
        <w:rPr>
          <w:rFonts w:asciiTheme="majorBidi" w:hAnsiTheme="majorBidi" w:cstheme="majorBidi"/>
          <w:sz w:val="22"/>
          <w:szCs w:val="22"/>
          <w:rtl/>
        </w:rPr>
      </w:pPr>
    </w:p>
    <w:p w14:paraId="04598109" w14:textId="77777777" w:rsidR="00C50E03" w:rsidRDefault="00C50E03" w:rsidP="007E4B77">
      <w:pPr>
        <w:jc w:val="both"/>
        <w:rPr>
          <w:rFonts w:asciiTheme="majorBidi" w:hAnsiTheme="majorBidi" w:cstheme="majorBidi"/>
          <w:sz w:val="22"/>
          <w:szCs w:val="22"/>
          <w:rtl/>
        </w:rPr>
      </w:pPr>
    </w:p>
    <w:p w14:paraId="7972EA0F" w14:textId="77777777" w:rsidR="002F242E" w:rsidRDefault="002F242E" w:rsidP="007E4B77">
      <w:pPr>
        <w:jc w:val="both"/>
        <w:rPr>
          <w:rFonts w:asciiTheme="majorBidi" w:hAnsiTheme="majorBidi" w:cstheme="majorBidi"/>
          <w:sz w:val="22"/>
          <w:szCs w:val="22"/>
          <w:rtl/>
        </w:rPr>
      </w:pPr>
    </w:p>
    <w:p w14:paraId="77791E47" w14:textId="651F195E" w:rsidR="002F242E" w:rsidRPr="00C50E03" w:rsidRDefault="00C50E03" w:rsidP="00C50E03">
      <w:pPr>
        <w:jc w:val="center"/>
        <w:rPr>
          <w:rFonts w:asciiTheme="majorBidi" w:hAnsiTheme="majorBidi" w:cstheme="majorBidi" w:hint="cs"/>
          <w:b/>
          <w:bCs/>
          <w:rtl/>
          <w:lang w:bidi="fa-IR"/>
        </w:rPr>
      </w:pPr>
      <w:r w:rsidRPr="00C50E03">
        <w:rPr>
          <w:rFonts w:asciiTheme="majorBidi" w:hAnsiTheme="majorBidi" w:cstheme="majorBidi"/>
          <w:b/>
          <w:bCs/>
          <w:lang w:bidi="fa-IR"/>
        </w:rPr>
        <w:t>Artificial Intelligence-Driven Triage Systems: A Comparative Analysis of Implementation Challenges and Ethical Considerations Across Medical Specialties</w:t>
      </w:r>
    </w:p>
    <w:p w14:paraId="10E365D5" w14:textId="32590C2D" w:rsidR="002F242E" w:rsidRDefault="00C50E03" w:rsidP="00C50E03">
      <w:pPr>
        <w:jc w:val="center"/>
        <w:rPr>
          <w:rFonts w:asciiTheme="majorBidi" w:hAnsiTheme="majorBidi" w:cstheme="majorBidi"/>
          <w:b/>
          <w:bCs/>
          <w:sz w:val="20"/>
          <w:szCs w:val="20"/>
        </w:rPr>
      </w:pPr>
      <w:r>
        <w:rPr>
          <w:rFonts w:asciiTheme="majorBidi" w:hAnsiTheme="majorBidi" w:cstheme="majorBidi"/>
          <w:b/>
          <w:bCs/>
          <w:sz w:val="20"/>
          <w:szCs w:val="20"/>
        </w:rPr>
        <w:t>Mahdi Najjarzadeh</w:t>
      </w:r>
    </w:p>
    <w:p w14:paraId="27765D3E" w14:textId="26BDA6FF" w:rsidR="00C50E03" w:rsidRPr="00C50E03" w:rsidRDefault="00C50E03" w:rsidP="00C50E03">
      <w:pPr>
        <w:jc w:val="center"/>
        <w:rPr>
          <w:rFonts w:asciiTheme="majorBidi" w:hAnsiTheme="majorBidi" w:cstheme="majorBidi"/>
          <w:i/>
          <w:iCs/>
          <w:sz w:val="20"/>
          <w:szCs w:val="20"/>
        </w:rPr>
      </w:pPr>
      <w:r w:rsidRPr="00C50E03">
        <w:rPr>
          <w:rFonts w:asciiTheme="majorBidi" w:hAnsiTheme="majorBidi" w:cstheme="majorBidi"/>
          <w:i/>
          <w:iCs/>
          <w:sz w:val="20"/>
          <w:szCs w:val="20"/>
        </w:rPr>
        <w:t>Faculty of Nursing, Shahid Sadoughi University of Medical Sciences, Yazd, Iran</w:t>
      </w:r>
    </w:p>
    <w:p w14:paraId="548100A8" w14:textId="1D34F53D" w:rsidR="00C50E03" w:rsidRDefault="00C50E03" w:rsidP="00C50E03">
      <w:pPr>
        <w:jc w:val="center"/>
        <w:rPr>
          <w:rFonts w:asciiTheme="majorBidi" w:hAnsiTheme="majorBidi" w:cstheme="majorBidi"/>
          <w:b/>
          <w:bCs/>
          <w:sz w:val="20"/>
          <w:szCs w:val="20"/>
        </w:rPr>
      </w:pPr>
      <w:r>
        <w:rPr>
          <w:rFonts w:asciiTheme="majorBidi" w:hAnsiTheme="majorBidi" w:cstheme="majorBidi"/>
          <w:b/>
          <w:bCs/>
          <w:sz w:val="20"/>
          <w:szCs w:val="20"/>
        </w:rPr>
        <w:t>Pouria Jalali</w:t>
      </w:r>
      <w:r>
        <w:rPr>
          <w:rFonts w:asciiTheme="majorBidi" w:hAnsiTheme="majorBidi" w:cstheme="majorBidi"/>
          <w:b/>
          <w:bCs/>
          <w:sz w:val="20"/>
          <w:szCs w:val="20"/>
          <w:vertAlign w:val="superscript"/>
        </w:rPr>
        <w:t>*</w:t>
      </w:r>
    </w:p>
    <w:p w14:paraId="392BE13C" w14:textId="154D273B" w:rsidR="00C50E03" w:rsidRPr="00C50E03" w:rsidRDefault="00C50E03" w:rsidP="00C50E03">
      <w:pPr>
        <w:jc w:val="center"/>
        <w:rPr>
          <w:rFonts w:asciiTheme="majorBidi" w:hAnsiTheme="majorBidi" w:cstheme="majorBidi"/>
          <w:i/>
          <w:iCs/>
          <w:sz w:val="20"/>
          <w:szCs w:val="20"/>
        </w:rPr>
      </w:pPr>
      <w:r w:rsidRPr="00C50E03">
        <w:rPr>
          <w:rFonts w:asciiTheme="majorBidi" w:hAnsiTheme="majorBidi" w:cstheme="majorBidi"/>
          <w:i/>
          <w:iCs/>
          <w:sz w:val="20"/>
          <w:szCs w:val="20"/>
        </w:rPr>
        <w:t>Faculty of Medicine, Shahid Sadoughi University of Medical Sciences, Yazd, Iran</w:t>
      </w:r>
    </w:p>
    <w:p w14:paraId="19095533" w14:textId="77777777" w:rsidR="002F242E" w:rsidRDefault="002F242E" w:rsidP="007E4B77">
      <w:pPr>
        <w:jc w:val="both"/>
        <w:rPr>
          <w:rFonts w:asciiTheme="majorBidi" w:hAnsiTheme="majorBidi" w:cstheme="majorBidi"/>
          <w:sz w:val="22"/>
          <w:szCs w:val="22"/>
        </w:rPr>
      </w:pPr>
    </w:p>
    <w:p w14:paraId="08E5409C" w14:textId="77777777" w:rsidR="002F242E" w:rsidRDefault="002F242E" w:rsidP="007E4B77">
      <w:pPr>
        <w:jc w:val="both"/>
        <w:rPr>
          <w:rFonts w:asciiTheme="majorBidi" w:hAnsiTheme="majorBidi" w:cstheme="majorBidi"/>
          <w:sz w:val="22"/>
          <w:szCs w:val="22"/>
        </w:rPr>
      </w:pPr>
    </w:p>
    <w:p w14:paraId="51A9988B" w14:textId="3053D0E2" w:rsidR="00DB5080" w:rsidRDefault="00DB5080" w:rsidP="00DB5080">
      <w:pPr>
        <w:jc w:val="both"/>
        <w:rPr>
          <w:rFonts w:asciiTheme="majorBidi" w:hAnsiTheme="majorBidi" w:cstheme="majorBidi"/>
          <w:sz w:val="22"/>
          <w:szCs w:val="22"/>
          <w:rtl/>
        </w:rPr>
      </w:pPr>
    </w:p>
    <w:p w14:paraId="6A5BD51F" w14:textId="77777777" w:rsidR="00DB5080" w:rsidRDefault="00DB5080" w:rsidP="00DB5080">
      <w:pPr>
        <w:jc w:val="both"/>
        <w:rPr>
          <w:rFonts w:asciiTheme="majorBidi" w:hAnsiTheme="majorBidi" w:cstheme="majorBidi"/>
          <w:sz w:val="22"/>
          <w:szCs w:val="22"/>
          <w:rtl/>
        </w:rPr>
      </w:pPr>
    </w:p>
    <w:p w14:paraId="6E59243D" w14:textId="5F7ED54B" w:rsidR="002F242E" w:rsidRDefault="002F242E" w:rsidP="007E4B77">
      <w:pPr>
        <w:jc w:val="both"/>
        <w:rPr>
          <w:rFonts w:asciiTheme="majorBidi" w:hAnsiTheme="majorBidi" w:cstheme="majorBidi"/>
          <w:b/>
          <w:bCs/>
          <w:sz w:val="22"/>
          <w:szCs w:val="22"/>
        </w:rPr>
      </w:pPr>
      <w:r w:rsidRPr="002F242E">
        <w:rPr>
          <w:rFonts w:asciiTheme="majorBidi" w:hAnsiTheme="majorBidi" w:cstheme="majorBidi"/>
          <w:b/>
          <w:bCs/>
          <w:sz w:val="22"/>
          <w:szCs w:val="22"/>
        </w:rPr>
        <w:t>Abstract</w:t>
      </w:r>
    </w:p>
    <w:p w14:paraId="01FB7395" w14:textId="77777777" w:rsidR="002F242E" w:rsidRPr="002F242E" w:rsidRDefault="002F242E" w:rsidP="002F242E">
      <w:pPr>
        <w:jc w:val="both"/>
        <w:rPr>
          <w:rFonts w:asciiTheme="majorBidi" w:hAnsiTheme="majorBidi" w:cstheme="majorBidi"/>
          <w:sz w:val="20"/>
          <w:szCs w:val="20"/>
        </w:rPr>
      </w:pPr>
      <w:r w:rsidRPr="002F242E">
        <w:rPr>
          <w:rFonts w:asciiTheme="majorBidi" w:hAnsiTheme="majorBidi" w:cstheme="majorBidi"/>
          <w:sz w:val="20"/>
          <w:szCs w:val="20"/>
        </w:rPr>
        <w:t>This comprehensive review examines the transformative role of Artificial Intelligence (AI) in enhancing medical triage systems across diverse clinical emergencies. AI technologies, including machine learning and natural language processing, address critical challenges in emergency care such as patient overcrowding, resource limitations, and subjective clinical judgment.</w:t>
      </w:r>
    </w:p>
    <w:p w14:paraId="268DC1B8" w14:textId="77777777" w:rsidR="002F242E" w:rsidRPr="002F242E" w:rsidRDefault="002F242E" w:rsidP="002F242E">
      <w:pPr>
        <w:jc w:val="both"/>
        <w:rPr>
          <w:rFonts w:asciiTheme="majorBidi" w:hAnsiTheme="majorBidi" w:cstheme="majorBidi"/>
          <w:sz w:val="20"/>
          <w:szCs w:val="20"/>
        </w:rPr>
      </w:pPr>
      <w:r w:rsidRPr="002F242E">
        <w:rPr>
          <w:rFonts w:asciiTheme="majorBidi" w:hAnsiTheme="majorBidi" w:cstheme="majorBidi"/>
          <w:sz w:val="20"/>
          <w:szCs w:val="20"/>
        </w:rPr>
        <w:t xml:space="preserve">Evidence from specific applications demonstrates significant improvements in speed and accuracy. For stroke care, AI enables early detection via wearables, optimizes ambulance dispatch, and introduces portable diagnostic tools like EEG helmets for large vessel occlusion. In hemorrhage triage, the APPRAISE-HRI algorithm effectively stratifies risk using only three vital signs. For ocular emergencies, systems like EE-Explorer combine images and metadata to prioritize cases with high accuracy. During the COVID-19 pandemic, AI models rapidly analyzed chest imaging to stratify disease severity and optimize patient flow. In gynecology, integrated systems like </w:t>
      </w:r>
      <w:proofErr w:type="spellStart"/>
      <w:r w:rsidRPr="002F242E">
        <w:rPr>
          <w:rFonts w:asciiTheme="majorBidi" w:hAnsiTheme="majorBidi" w:cstheme="majorBidi"/>
          <w:sz w:val="20"/>
          <w:szCs w:val="20"/>
        </w:rPr>
        <w:t>SmartGyne</w:t>
      </w:r>
      <w:proofErr w:type="spellEnd"/>
      <w:r w:rsidRPr="002F242E">
        <w:rPr>
          <w:rFonts w:asciiTheme="majorBidi" w:hAnsiTheme="majorBidi" w:cstheme="majorBidi"/>
          <w:sz w:val="20"/>
          <w:szCs w:val="20"/>
        </w:rPr>
        <w:t xml:space="preserve"> perform concurrent triage and specialized diagnosis, augmenting clinician capabilities.</w:t>
      </w:r>
    </w:p>
    <w:p w14:paraId="274D783B" w14:textId="77777777" w:rsidR="002F242E" w:rsidRDefault="002F242E" w:rsidP="002F242E">
      <w:pPr>
        <w:jc w:val="both"/>
        <w:rPr>
          <w:rFonts w:asciiTheme="majorBidi" w:hAnsiTheme="majorBidi" w:cstheme="majorBidi"/>
          <w:sz w:val="20"/>
          <w:szCs w:val="20"/>
          <w:rtl/>
        </w:rPr>
      </w:pPr>
      <w:r w:rsidRPr="002F242E">
        <w:rPr>
          <w:rFonts w:asciiTheme="majorBidi" w:hAnsiTheme="majorBidi" w:cstheme="majorBidi"/>
          <w:sz w:val="20"/>
          <w:szCs w:val="20"/>
        </w:rPr>
        <w:t>The review concludes that AI acts as a powerful decision-support tool, improving outcomes by reducing wait times and enhancing diagnostic precision. However, successful clinical integration requires overcoming challenges related to multi-center validation, algorithmic transparency, ethical considerations, and seamless workflow integration. Future implementation must balance technological innovation with clinical utility and equity.</w:t>
      </w:r>
    </w:p>
    <w:p w14:paraId="45098AC7" w14:textId="77777777" w:rsidR="00DB5080" w:rsidRDefault="00DB5080" w:rsidP="002F242E">
      <w:pPr>
        <w:jc w:val="both"/>
        <w:rPr>
          <w:rFonts w:asciiTheme="majorBidi" w:hAnsiTheme="majorBidi" w:cstheme="majorBidi"/>
          <w:sz w:val="20"/>
          <w:szCs w:val="20"/>
          <w:rtl/>
        </w:rPr>
      </w:pPr>
    </w:p>
    <w:p w14:paraId="7884CCB4" w14:textId="78B7E360" w:rsidR="00DB5080" w:rsidRDefault="00DB5080" w:rsidP="00C50E03">
      <w:pPr>
        <w:jc w:val="both"/>
        <w:rPr>
          <w:rFonts w:asciiTheme="majorBidi" w:hAnsiTheme="majorBidi" w:cstheme="majorBidi"/>
          <w:sz w:val="20"/>
          <w:szCs w:val="20"/>
        </w:rPr>
      </w:pPr>
      <w:r>
        <w:rPr>
          <w:rFonts w:asciiTheme="majorBidi" w:hAnsiTheme="majorBidi" w:cstheme="majorBidi"/>
          <w:b/>
          <w:bCs/>
          <w:sz w:val="22"/>
          <w:szCs w:val="22"/>
        </w:rPr>
        <w:t>Keywords:</w:t>
      </w:r>
      <w:r>
        <w:rPr>
          <w:rFonts w:asciiTheme="majorBidi" w:hAnsiTheme="majorBidi" w:cstheme="majorBidi"/>
          <w:sz w:val="20"/>
          <w:szCs w:val="20"/>
        </w:rPr>
        <w:t xml:space="preserve"> </w:t>
      </w:r>
      <w:r w:rsidRPr="00DB5080">
        <w:rPr>
          <w:rFonts w:asciiTheme="majorBidi" w:hAnsiTheme="majorBidi" w:cstheme="majorBidi"/>
          <w:sz w:val="20"/>
          <w:szCs w:val="20"/>
        </w:rPr>
        <w:t>Artificial Intelligence in Medicine</w:t>
      </w:r>
      <w:r>
        <w:rPr>
          <w:rFonts w:asciiTheme="majorBidi" w:hAnsiTheme="majorBidi" w:cstheme="majorBidi"/>
          <w:sz w:val="20"/>
          <w:szCs w:val="20"/>
        </w:rPr>
        <w:t xml:space="preserve">, </w:t>
      </w:r>
      <w:r w:rsidRPr="00DB5080">
        <w:rPr>
          <w:rFonts w:asciiTheme="majorBidi" w:hAnsiTheme="majorBidi" w:cstheme="majorBidi"/>
          <w:sz w:val="20"/>
          <w:szCs w:val="20"/>
        </w:rPr>
        <w:t>Medical Triage</w:t>
      </w:r>
      <w:r>
        <w:rPr>
          <w:rFonts w:asciiTheme="majorBidi" w:hAnsiTheme="majorBidi" w:cstheme="majorBidi"/>
          <w:sz w:val="20"/>
          <w:szCs w:val="20"/>
        </w:rPr>
        <w:t xml:space="preserve">, </w:t>
      </w:r>
      <w:r w:rsidRPr="00DB5080">
        <w:rPr>
          <w:rFonts w:asciiTheme="majorBidi" w:hAnsiTheme="majorBidi" w:cstheme="majorBidi"/>
          <w:sz w:val="20"/>
          <w:szCs w:val="20"/>
        </w:rPr>
        <w:t>Machine Learning</w:t>
      </w:r>
      <w:r>
        <w:rPr>
          <w:rFonts w:asciiTheme="majorBidi" w:hAnsiTheme="majorBidi" w:cstheme="majorBidi"/>
          <w:sz w:val="20"/>
          <w:szCs w:val="20"/>
        </w:rPr>
        <w:t xml:space="preserve">, </w:t>
      </w:r>
      <w:r w:rsidRPr="00DB5080">
        <w:rPr>
          <w:rFonts w:asciiTheme="majorBidi" w:hAnsiTheme="majorBidi" w:cstheme="majorBidi"/>
          <w:sz w:val="20"/>
          <w:szCs w:val="20"/>
        </w:rPr>
        <w:t>Early Diagnosis</w:t>
      </w:r>
      <w:r>
        <w:rPr>
          <w:rFonts w:asciiTheme="majorBidi" w:hAnsiTheme="majorBidi" w:cstheme="majorBidi"/>
          <w:sz w:val="20"/>
          <w:szCs w:val="20"/>
        </w:rPr>
        <w:t xml:space="preserve">, </w:t>
      </w:r>
      <w:r w:rsidRPr="00DB5080">
        <w:rPr>
          <w:rFonts w:asciiTheme="majorBidi" w:hAnsiTheme="majorBidi" w:cstheme="majorBidi"/>
          <w:sz w:val="20"/>
          <w:szCs w:val="20"/>
        </w:rPr>
        <w:t>Natural Language Processing</w:t>
      </w:r>
      <w:r>
        <w:rPr>
          <w:rFonts w:asciiTheme="majorBidi" w:hAnsiTheme="majorBidi" w:cstheme="majorBidi"/>
          <w:sz w:val="20"/>
          <w:szCs w:val="20"/>
        </w:rPr>
        <w:t xml:space="preserve">, </w:t>
      </w:r>
      <w:r w:rsidRPr="00DB5080">
        <w:rPr>
          <w:rFonts w:asciiTheme="majorBidi" w:hAnsiTheme="majorBidi" w:cstheme="majorBidi"/>
          <w:sz w:val="20"/>
          <w:szCs w:val="20"/>
        </w:rPr>
        <w:t>Clinical Decision Support Systems</w:t>
      </w:r>
      <w:r>
        <w:rPr>
          <w:rFonts w:asciiTheme="majorBidi" w:hAnsiTheme="majorBidi" w:cstheme="majorBidi"/>
          <w:sz w:val="20"/>
          <w:szCs w:val="20"/>
        </w:rPr>
        <w:t xml:space="preserve">, </w:t>
      </w:r>
      <w:r w:rsidRPr="00DB5080">
        <w:rPr>
          <w:rFonts w:asciiTheme="majorBidi" w:hAnsiTheme="majorBidi" w:cstheme="majorBidi"/>
          <w:sz w:val="20"/>
          <w:szCs w:val="20"/>
        </w:rPr>
        <w:t>Specialized Emergencies</w:t>
      </w:r>
      <w:r>
        <w:rPr>
          <w:rFonts w:asciiTheme="majorBidi" w:hAnsiTheme="majorBidi" w:cstheme="majorBidi"/>
          <w:sz w:val="20"/>
          <w:szCs w:val="20"/>
        </w:rPr>
        <w:t xml:space="preserve">, </w:t>
      </w:r>
      <w:r w:rsidRPr="00DB5080">
        <w:rPr>
          <w:rFonts w:asciiTheme="majorBidi" w:hAnsiTheme="majorBidi" w:cstheme="majorBidi"/>
          <w:sz w:val="20"/>
          <w:szCs w:val="20"/>
        </w:rPr>
        <w:t>Technology Integration in Clinical Practice</w:t>
      </w:r>
    </w:p>
    <w:p w14:paraId="68ECEE34" w14:textId="77777777" w:rsidR="00C50E03" w:rsidRDefault="00C50E03" w:rsidP="00C50E03">
      <w:pPr>
        <w:jc w:val="both"/>
        <w:rPr>
          <w:rFonts w:asciiTheme="majorBidi" w:hAnsiTheme="majorBidi" w:cstheme="majorBidi"/>
          <w:sz w:val="20"/>
          <w:szCs w:val="20"/>
        </w:rPr>
      </w:pPr>
    </w:p>
    <w:p w14:paraId="67C4E428" w14:textId="77777777" w:rsidR="00C50E03" w:rsidRPr="00C50E03" w:rsidRDefault="00C50E03" w:rsidP="00C50E03">
      <w:pPr>
        <w:jc w:val="both"/>
        <w:rPr>
          <w:rFonts w:asciiTheme="majorBidi" w:hAnsiTheme="majorBidi" w:cstheme="majorBidi"/>
          <w:sz w:val="20"/>
          <w:szCs w:val="20"/>
          <w:rtl/>
        </w:rPr>
      </w:pPr>
    </w:p>
    <w:p w14:paraId="03D6E6B6" w14:textId="0D2250DC" w:rsidR="007E4B77" w:rsidRPr="00DB5080" w:rsidRDefault="006D2261" w:rsidP="007E4B77">
      <w:pPr>
        <w:jc w:val="both"/>
        <w:rPr>
          <w:rFonts w:asciiTheme="majorBidi" w:hAnsiTheme="majorBidi" w:cstheme="majorBidi"/>
          <w:b/>
          <w:bCs/>
          <w:sz w:val="22"/>
          <w:szCs w:val="22"/>
        </w:rPr>
      </w:pPr>
      <w:r w:rsidRPr="00DB5080">
        <w:rPr>
          <w:rFonts w:asciiTheme="majorBidi" w:hAnsiTheme="majorBidi" w:cstheme="majorBidi"/>
          <w:b/>
          <w:bCs/>
          <w:sz w:val="22"/>
          <w:szCs w:val="22"/>
        </w:rPr>
        <w:lastRenderedPageBreak/>
        <w:t>Introduction</w:t>
      </w:r>
    </w:p>
    <w:p w14:paraId="01F4006F" w14:textId="77777777" w:rsidR="006D2261" w:rsidRPr="006D2261" w:rsidRDefault="006D2261" w:rsidP="006D2261">
      <w:pPr>
        <w:jc w:val="both"/>
        <w:rPr>
          <w:rFonts w:asciiTheme="majorBidi" w:hAnsiTheme="majorBidi" w:cstheme="majorBidi"/>
          <w:sz w:val="20"/>
          <w:szCs w:val="20"/>
        </w:rPr>
      </w:pPr>
      <w:r w:rsidRPr="006D2261">
        <w:rPr>
          <w:rFonts w:asciiTheme="majorBidi" w:hAnsiTheme="majorBidi" w:cstheme="majorBidi"/>
          <w:sz w:val="20"/>
          <w:szCs w:val="20"/>
        </w:rPr>
        <w:t>In the context of accelerated digital transformation, artificial intelligence has become a preeminent catalyst for innovation within the healthcare industry. A particularly vital application domain for this technology is medical triage systems, especially in emergency settings. The triage process, which involves ranking patients according to the acuity of their condition and the urgency of required intervention, perpetually contends with obstacles including rising patient influx, constraints on human and material resources, and potential inaccuracies in clinical assessment. Within this framework, artificial intelligence, utilizing machine learning algorithms, natural language processing, and multimodal data analysis, presents exceptional potential to expedite, improve the precision of, and introduce greater objectivity into triage procedures.</w:t>
      </w:r>
    </w:p>
    <w:p w14:paraId="08C14851" w14:textId="77777777" w:rsidR="006D2261" w:rsidRPr="006D2261" w:rsidRDefault="006D2261" w:rsidP="006D2261">
      <w:pPr>
        <w:jc w:val="both"/>
        <w:rPr>
          <w:rFonts w:asciiTheme="majorBidi" w:hAnsiTheme="majorBidi" w:cstheme="majorBidi"/>
          <w:sz w:val="20"/>
          <w:szCs w:val="20"/>
        </w:rPr>
      </w:pPr>
      <w:r w:rsidRPr="006D2261">
        <w:rPr>
          <w:rFonts w:asciiTheme="majorBidi" w:hAnsiTheme="majorBidi" w:cstheme="majorBidi"/>
          <w:sz w:val="20"/>
          <w:szCs w:val="20"/>
        </w:rPr>
        <w:t>By investigating the function of artificial intelligence in patient triage within varied fields such as general emergency medicine, stroke, acute hemorrhage, ocular emergencies, COVID-19, and gynecological conditions, this article seeks to furnish a holistic overview of this technology’s capacities, accomplishments, and hurdles. Evidence suggests that intelligent systems can not only decrease patient wait times and enhance classification accuracy but also contribute effectively to early diagnosis, optimal resource distribution, and the education of medical staff. Nevertheless, the effective deployment of these systems necessitates careful regard for ethical issues, validation through multi-center clinical trials, algorithmic transparency, and its seamless integration into established clinical workflows.</w:t>
      </w:r>
    </w:p>
    <w:p w14:paraId="3F98481C" w14:textId="77777777" w:rsidR="006D2261" w:rsidRDefault="006D2261" w:rsidP="006D2261">
      <w:pPr>
        <w:jc w:val="both"/>
        <w:rPr>
          <w:rFonts w:asciiTheme="majorBidi" w:hAnsiTheme="majorBidi" w:cstheme="majorBidi"/>
          <w:sz w:val="20"/>
          <w:szCs w:val="20"/>
        </w:rPr>
      </w:pPr>
      <w:r w:rsidRPr="006D2261">
        <w:rPr>
          <w:rFonts w:asciiTheme="majorBidi" w:hAnsiTheme="majorBidi" w:cstheme="majorBidi"/>
          <w:sz w:val="20"/>
          <w:szCs w:val="20"/>
        </w:rPr>
        <w:t xml:space="preserve">In subsequent portions, via an examination of authoritative studies and implemented examples—including APPRAISE-HRI for hemorrhage triage, EE-Explorer for ocular emergencies, and </w:t>
      </w:r>
      <w:proofErr w:type="spellStart"/>
      <w:r w:rsidRPr="006D2261">
        <w:rPr>
          <w:rFonts w:asciiTheme="majorBidi" w:hAnsiTheme="majorBidi" w:cstheme="majorBidi"/>
          <w:sz w:val="20"/>
          <w:szCs w:val="20"/>
        </w:rPr>
        <w:t>SmartGyne</w:t>
      </w:r>
      <w:proofErr w:type="spellEnd"/>
      <w:r w:rsidRPr="006D2261">
        <w:rPr>
          <w:rFonts w:asciiTheme="majorBidi" w:hAnsiTheme="majorBidi" w:cstheme="majorBidi"/>
          <w:sz w:val="20"/>
          <w:szCs w:val="20"/>
        </w:rPr>
        <w:t xml:space="preserve"> for gynecological diseases—this review will illustrate how artificial intelligence can function not as a substitute, but as a potent augmentation to clinical judgment. This synergy aids in advancing treatment outcomes, diminishing preventable mortality, and fostering equity in access to specialized care. This synthesis constitutes a stride toward a methodical comprehension of the prospective trajectory of intelligent triage and the essential prerequisites for its actualization across the healthcare ecosystem.</w:t>
      </w:r>
    </w:p>
    <w:p w14:paraId="17E18F40" w14:textId="5512717A" w:rsidR="007E4B77" w:rsidRPr="006D2261" w:rsidRDefault="007E4B77" w:rsidP="006D2261">
      <w:pPr>
        <w:jc w:val="both"/>
        <w:rPr>
          <w:rFonts w:asciiTheme="majorBidi" w:hAnsiTheme="majorBidi" w:cstheme="majorBidi"/>
          <w:sz w:val="20"/>
          <w:szCs w:val="20"/>
        </w:rPr>
      </w:pPr>
      <w:r w:rsidRPr="007E4B77">
        <w:rPr>
          <w:rFonts w:asciiTheme="majorBidi" w:hAnsiTheme="majorBidi" w:cstheme="majorBidi"/>
          <w:b/>
          <w:bCs/>
          <w:sz w:val="22"/>
          <w:szCs w:val="22"/>
        </w:rPr>
        <w:t>The role of Artificial intelligence in hospital triage</w:t>
      </w:r>
    </w:p>
    <w:p w14:paraId="02948536" w14:textId="67E6AF57" w:rsidR="007E4B77" w:rsidRPr="007E4B77" w:rsidRDefault="007E4B77" w:rsidP="007E4B77">
      <w:pPr>
        <w:jc w:val="both"/>
        <w:rPr>
          <w:rFonts w:asciiTheme="majorBidi" w:hAnsiTheme="majorBidi" w:cstheme="majorBidi"/>
          <w:sz w:val="20"/>
          <w:szCs w:val="20"/>
        </w:rPr>
      </w:pPr>
      <w:r w:rsidRPr="007E4B77">
        <w:rPr>
          <w:rFonts w:asciiTheme="majorBidi" w:hAnsiTheme="majorBidi" w:cstheme="majorBidi"/>
          <w:sz w:val="20"/>
          <w:szCs w:val="20"/>
        </w:rPr>
        <w:t>Artificial intelligence constitutes a transformative technological force that is assuming an increasingly significant role in enhancing the triage process within hospital emergency departments. In light of mounting challenges, including escalating patient volumes, finite resources, and the hazards linked to erroneous triage categorizations, conventional systems reliant on human clinical judgment may exhibit deficiencies in accuracy and efficiency. Through the application of machine learning algorithms, natural language processing, and multimodal data analysis, artificial intelligence can interpret extensive clinical information in real time to inform triage determinations. Such systems are capable of discerning subtle patterns within vital signs, patient history, and even unstructured speech, thereby assisting in forecasting clinical urgency or probable diagnoses. The consequence of this is a demonstrable reduction in patient waiting periods, enhanced precision in patient classification, and more effective resource allocation.</w:t>
      </w:r>
    </w:p>
    <w:p w14:paraId="16C7276A" w14:textId="77777777" w:rsidR="007E4B77" w:rsidRPr="007E4B77" w:rsidRDefault="007E4B77" w:rsidP="007E4B77">
      <w:pPr>
        <w:jc w:val="both"/>
        <w:rPr>
          <w:rFonts w:asciiTheme="majorBidi" w:hAnsiTheme="majorBidi" w:cstheme="majorBidi"/>
          <w:sz w:val="20"/>
          <w:szCs w:val="20"/>
        </w:rPr>
      </w:pPr>
      <w:r w:rsidRPr="007E4B77">
        <w:rPr>
          <w:rFonts w:asciiTheme="majorBidi" w:hAnsiTheme="majorBidi" w:cstheme="majorBidi"/>
          <w:sz w:val="20"/>
          <w:szCs w:val="20"/>
        </w:rPr>
        <w:t>Nevertheless, the integration of artificial intelligence into emergency triage extends beyond a mere technical upgrade; it necessitates meticulous consideration of practical, ethical, and clinical validation factors. Research indicates that AI-based systems can diminish triage error rates and expedite documentation, yet persistent challenges include limited generalizability stemming from single-center studies, apprehensions regarding algorithmic transparency, and enduring risks such as under-triage. The successful implementation of these systems hinges upon clinician acceptance, their integration into established clinical workflows, and the assurance of equitable, unbiased performance across diverse patient demographics.</w:t>
      </w:r>
    </w:p>
    <w:p w14:paraId="713FB9DC" w14:textId="77777777" w:rsidR="007E4B77" w:rsidRDefault="007E4B77" w:rsidP="007E4B77">
      <w:pPr>
        <w:jc w:val="both"/>
        <w:rPr>
          <w:rFonts w:asciiTheme="majorBidi" w:hAnsiTheme="majorBidi" w:cstheme="majorBidi"/>
          <w:sz w:val="20"/>
          <w:szCs w:val="20"/>
        </w:rPr>
      </w:pPr>
      <w:r w:rsidRPr="007E4B77">
        <w:rPr>
          <w:rFonts w:asciiTheme="majorBidi" w:hAnsiTheme="majorBidi" w:cstheme="majorBidi"/>
          <w:sz w:val="20"/>
          <w:szCs w:val="20"/>
        </w:rPr>
        <w:t xml:space="preserve">Consequently, the evolution of intelligent triage in emergency care is contingent upon the advancement of interpretable algorithms, comprehensive multicenter validation studies, and the formulation of rigorous ethical and regulatory frameworks. This technology possesses substantial potential for diminishing clinical burdens, mitigating emergency </w:t>
      </w:r>
      <w:r w:rsidRPr="007E4B77">
        <w:rPr>
          <w:rFonts w:asciiTheme="majorBidi" w:hAnsiTheme="majorBidi" w:cstheme="majorBidi"/>
          <w:sz w:val="20"/>
          <w:szCs w:val="20"/>
        </w:rPr>
        <w:lastRenderedPageBreak/>
        <w:t>department overcrowding, and improving patient outcomes. Its full realization, however, demands a prudent equilibrium between technological innovation, clinical accuracy, and social responsibility.</w:t>
      </w:r>
    </w:p>
    <w:p w14:paraId="6AC9831D" w14:textId="77777777" w:rsidR="007E4B77" w:rsidRPr="007E4B77" w:rsidRDefault="007E4B77" w:rsidP="007E4B77">
      <w:pPr>
        <w:jc w:val="both"/>
        <w:rPr>
          <w:rFonts w:asciiTheme="majorBidi" w:hAnsiTheme="majorBidi" w:cstheme="majorBidi"/>
          <w:b/>
          <w:bCs/>
          <w:sz w:val="22"/>
          <w:szCs w:val="22"/>
          <w:lang w:bidi="fa-IR"/>
        </w:rPr>
      </w:pPr>
      <w:r w:rsidRPr="007E4B77">
        <w:rPr>
          <w:rFonts w:asciiTheme="majorBidi" w:hAnsiTheme="majorBidi" w:cstheme="majorBidi"/>
          <w:b/>
          <w:bCs/>
          <w:sz w:val="22"/>
          <w:szCs w:val="22"/>
          <w:lang w:bidi="fa-IR"/>
        </w:rPr>
        <w:t>The Role of Artificial Intelligence in Triage of Stroke Patients</w:t>
      </w:r>
    </w:p>
    <w:p w14:paraId="4FB7DDFB" w14:textId="77777777" w:rsidR="007E4B77" w:rsidRPr="00C8272A" w:rsidRDefault="007E4B77" w:rsidP="007E4B77">
      <w:pPr>
        <w:jc w:val="both"/>
        <w:rPr>
          <w:rFonts w:asciiTheme="majorBidi" w:hAnsiTheme="majorBidi" w:cstheme="majorBidi"/>
          <w:sz w:val="20"/>
          <w:szCs w:val="20"/>
          <w:lang w:bidi="fa-IR"/>
        </w:rPr>
      </w:pPr>
      <w:r w:rsidRPr="00C8272A">
        <w:rPr>
          <w:rFonts w:asciiTheme="majorBidi" w:hAnsiTheme="majorBidi" w:cstheme="majorBidi"/>
          <w:sz w:val="20"/>
          <w:szCs w:val="20"/>
          <w:lang w:bidi="fa-IR"/>
        </w:rPr>
        <w:t>In her research article, Zoe C. Wolcott investigates the pivotal and evolving function of Artificial Intelligence (AI)-based systems in confronting the difficulties associated with stroke management within the essential pre-hospital period. Notwithstanding significant therapeutic developments like mechanical thrombectomy, the efficacy of such interventions remains critically contingent on time, while Emergency Medical Services (EMS) infrastructures frequently encounter constraints in precise diagnosis and effective patient triage.</w:t>
      </w:r>
    </w:p>
    <w:p w14:paraId="5BCBB621" w14:textId="77777777" w:rsidR="007E4B77" w:rsidRPr="00C8272A" w:rsidRDefault="007E4B77" w:rsidP="007E4B77">
      <w:pPr>
        <w:jc w:val="both"/>
        <w:rPr>
          <w:rFonts w:asciiTheme="majorBidi" w:hAnsiTheme="majorBidi" w:cstheme="majorBidi"/>
          <w:sz w:val="20"/>
          <w:szCs w:val="20"/>
          <w:lang w:bidi="fa-IR"/>
        </w:rPr>
      </w:pPr>
      <w:r w:rsidRPr="00C8272A">
        <w:rPr>
          <w:rFonts w:asciiTheme="majorBidi" w:hAnsiTheme="majorBidi" w:cstheme="majorBidi"/>
          <w:sz w:val="20"/>
          <w:szCs w:val="20"/>
          <w:lang w:bidi="fa-IR"/>
        </w:rPr>
        <w:t>AI addresses these specific challenges by offering interventions across several principal domains:</w:t>
      </w:r>
    </w:p>
    <w:p w14:paraId="311708EC" w14:textId="77777777" w:rsidR="007E4B77" w:rsidRPr="00C8272A" w:rsidRDefault="007E4B77" w:rsidP="007E4B77">
      <w:pPr>
        <w:jc w:val="both"/>
        <w:rPr>
          <w:rFonts w:asciiTheme="majorBidi" w:hAnsiTheme="majorBidi" w:cstheme="majorBidi"/>
          <w:sz w:val="20"/>
          <w:szCs w:val="20"/>
          <w:lang w:bidi="fa-IR"/>
        </w:rPr>
      </w:pPr>
      <w:r w:rsidRPr="00C8272A">
        <w:rPr>
          <w:rFonts w:asciiTheme="majorBidi" w:hAnsiTheme="majorBidi" w:cstheme="majorBidi"/>
          <w:sz w:val="20"/>
          <w:szCs w:val="20"/>
          <w:lang w:bidi="fa-IR"/>
        </w:rPr>
        <w:t>Early Detection: AI methodologies can employ data from sensors embedded in wearable technology, including smartwatches and smartphones, which incorporate accelerometers and gyroscopes, to detect abrupt alterations in gait or unilateral motor deficits. Additionally, computer vision algorithms are adept at scrutinizing facial video footage to identify unilateral facial weakness and, through the monitoring of ocular movements, can precisely ascertain gaze deviation, a key clinical sign of a Large Vessel Occlusion (LVO) stroke. These technologies possess the capability to trigger automatic alerts to either the individual or emergency services, thereby substantially decreasing the duration required to activate the EMS system.</w:t>
      </w:r>
    </w:p>
    <w:p w14:paraId="5BBE2604" w14:textId="77777777" w:rsidR="007E4B77" w:rsidRPr="00C8272A" w:rsidRDefault="007E4B77" w:rsidP="007E4B77">
      <w:pPr>
        <w:jc w:val="both"/>
        <w:rPr>
          <w:rFonts w:asciiTheme="majorBidi" w:hAnsiTheme="majorBidi" w:cstheme="majorBidi"/>
          <w:sz w:val="20"/>
          <w:szCs w:val="20"/>
          <w:lang w:bidi="fa-IR"/>
        </w:rPr>
      </w:pPr>
      <w:r w:rsidRPr="00C8272A">
        <w:rPr>
          <w:rFonts w:asciiTheme="majorBidi" w:hAnsiTheme="majorBidi" w:cstheme="majorBidi"/>
          <w:sz w:val="20"/>
          <w:szCs w:val="20"/>
          <w:lang w:bidi="fa-IR"/>
        </w:rPr>
        <w:t>Optimizing Dispatch and Resource Allocation: Within emergency communication centers, speech recognition algorithms can discern stroke-related verbal symptoms, such as dysarthria and aphasia, during initial telephone interactions, potentially elevating a dispatcher’s diagnostic precision by as much as 16%. Furthermore, Large Language Models (LLMs) can be utilized to dynamically formulate tailored screening queries based on a caller’s responses. By processing real-time geographical and traffic information, AI can also propose the most efficient locations for ambulance deployment to reduce triage and transport intervals.</w:t>
      </w:r>
    </w:p>
    <w:p w14:paraId="28C550F4" w14:textId="77777777" w:rsidR="007E4B77" w:rsidRPr="00C8272A" w:rsidRDefault="007E4B77" w:rsidP="007E4B77">
      <w:pPr>
        <w:jc w:val="both"/>
        <w:rPr>
          <w:rFonts w:asciiTheme="majorBidi" w:hAnsiTheme="majorBidi" w:cstheme="majorBidi"/>
          <w:sz w:val="20"/>
          <w:szCs w:val="20"/>
          <w:lang w:bidi="fa-IR"/>
        </w:rPr>
      </w:pPr>
      <w:r w:rsidRPr="00C8272A">
        <w:rPr>
          <w:rFonts w:asciiTheme="majorBidi" w:hAnsiTheme="majorBidi" w:cstheme="majorBidi"/>
          <w:sz w:val="20"/>
          <w:szCs w:val="20"/>
          <w:lang w:bidi="fa-IR"/>
        </w:rPr>
        <w:t>Enhancing EMS Personnel Training: Leveraging Virtual Reality (VR) and generative AI, it is possible to simulate highly authentic and secure training environments for EMS personnel. This allows them to accumulate substantial experience in managing stroke scenarios within a consequence-free setting. Such simulation platforms can deliver instantaneous, actionable feedback, thereby fostering the continuous refinement of diagnostic and triage competencies.</w:t>
      </w:r>
    </w:p>
    <w:p w14:paraId="34BF70E4" w14:textId="77777777" w:rsidR="007E4B77" w:rsidRPr="00C8272A" w:rsidRDefault="007E4B77" w:rsidP="007E4B77">
      <w:pPr>
        <w:jc w:val="both"/>
        <w:rPr>
          <w:rFonts w:asciiTheme="majorBidi" w:hAnsiTheme="majorBidi" w:cstheme="majorBidi"/>
          <w:sz w:val="20"/>
          <w:szCs w:val="20"/>
          <w:lang w:bidi="fa-IR"/>
        </w:rPr>
      </w:pPr>
      <w:r w:rsidRPr="00C8272A">
        <w:rPr>
          <w:rFonts w:asciiTheme="majorBidi" w:hAnsiTheme="majorBidi" w:cstheme="majorBidi"/>
          <w:sz w:val="20"/>
          <w:szCs w:val="20"/>
          <w:lang w:bidi="fa-IR"/>
        </w:rPr>
        <w:t>Development of Novel Diagnostic Tools: AI facilitates the creation of portable and economically viable devices for identifying stroke etiology during ambulance transit. For example, EEG helmets integrated with AI algorithms can diagnose an LVO stroke with 91% accuracy. Concurrently, emerging technologies like VIPS headsets, which utilize impedance spectroscopy, can detect severe strokes (including LVO or substantial hemorrhages) with a sensitivity of 93% and a specificity of 87%. These instruments hold considerable promise for markedly enhancing the precision of pre-hospital triage and facilitating direct patient transfer to appropriate Comprehensive Stroke Centers (CSCs).</w:t>
      </w:r>
    </w:p>
    <w:p w14:paraId="2F5AA2E9" w14:textId="77777777" w:rsidR="007E4B77" w:rsidRDefault="007E4B77" w:rsidP="007E4B77">
      <w:pPr>
        <w:jc w:val="both"/>
        <w:rPr>
          <w:rFonts w:asciiTheme="majorBidi" w:hAnsiTheme="majorBidi" w:cstheme="majorBidi"/>
          <w:sz w:val="20"/>
          <w:szCs w:val="20"/>
          <w:rtl/>
          <w:lang w:bidi="fa-IR"/>
        </w:rPr>
      </w:pPr>
      <w:r w:rsidRPr="00C8272A">
        <w:rPr>
          <w:rFonts w:asciiTheme="majorBidi" w:hAnsiTheme="majorBidi" w:cstheme="majorBidi"/>
          <w:sz w:val="20"/>
          <w:szCs w:val="20"/>
          <w:lang w:bidi="fa-IR"/>
        </w:rPr>
        <w:t>In summary, AI is materializing as a fundamentally transformative element within the stroke care continuum, rather than a mere adjunct. By targeting existing vulnerabilities from initial detection at home through to in-ambulance assessment, these technologies harbor significant potential for compressing treatment delays, augmenting diagnostic reliability, and, ultimately, preserving life and mitigating stroke-related disability. While obstacles to widespread clinical implementation persist, the prospective trajectory points toward the routine adoption of such intelligent systems to provide more expedient and individualized care for stroke patients.</w:t>
      </w:r>
    </w:p>
    <w:p w14:paraId="0501B40A" w14:textId="77777777" w:rsidR="00C50E03" w:rsidRDefault="00C50E03" w:rsidP="007E4B77">
      <w:pPr>
        <w:jc w:val="both"/>
        <w:rPr>
          <w:rFonts w:asciiTheme="majorBidi" w:hAnsiTheme="majorBidi" w:cstheme="majorBidi"/>
          <w:sz w:val="20"/>
          <w:szCs w:val="20"/>
          <w:rtl/>
          <w:lang w:bidi="fa-IR"/>
        </w:rPr>
      </w:pPr>
    </w:p>
    <w:p w14:paraId="06ACC2DB" w14:textId="77777777" w:rsidR="00C50E03" w:rsidRDefault="00C50E03" w:rsidP="007E4B77">
      <w:pPr>
        <w:jc w:val="both"/>
        <w:rPr>
          <w:rFonts w:asciiTheme="majorBidi" w:hAnsiTheme="majorBidi" w:cstheme="majorBidi"/>
          <w:sz w:val="20"/>
          <w:szCs w:val="20"/>
          <w:lang w:bidi="fa-IR"/>
        </w:rPr>
      </w:pPr>
    </w:p>
    <w:p w14:paraId="28312DF7" w14:textId="77777777" w:rsidR="007E4B77" w:rsidRPr="007E4B77" w:rsidRDefault="007E4B77" w:rsidP="007E4B77">
      <w:pPr>
        <w:jc w:val="both"/>
        <w:rPr>
          <w:b/>
          <w:bCs/>
          <w:sz w:val="22"/>
          <w:szCs w:val="22"/>
          <w:lang w:bidi="fa-IR"/>
        </w:rPr>
      </w:pPr>
      <w:r w:rsidRPr="007E4B77">
        <w:rPr>
          <w:b/>
          <w:bCs/>
          <w:sz w:val="22"/>
          <w:szCs w:val="22"/>
        </w:rPr>
        <w:lastRenderedPageBreak/>
        <w:t>APPRAISE-HRI</w:t>
      </w:r>
      <w:r w:rsidRPr="007E4B77">
        <w:rPr>
          <w:b/>
          <w:bCs/>
          <w:sz w:val="22"/>
          <w:szCs w:val="22"/>
          <w:lang w:bidi="fa-IR"/>
        </w:rPr>
        <w:t xml:space="preserve"> and hemorrhage triage</w:t>
      </w:r>
    </w:p>
    <w:p w14:paraId="01BD15C1" w14:textId="77777777" w:rsidR="007E4B77" w:rsidRPr="000132BD" w:rsidRDefault="007E4B77" w:rsidP="007E4B77">
      <w:pPr>
        <w:jc w:val="both"/>
        <w:rPr>
          <w:sz w:val="20"/>
          <w:szCs w:val="20"/>
        </w:rPr>
      </w:pPr>
      <w:r w:rsidRPr="000132BD">
        <w:rPr>
          <w:sz w:val="20"/>
          <w:szCs w:val="20"/>
        </w:rPr>
        <w:t>APPRAISE-HRI constitutes an artificial intelligence algorithm, engineered by researcher Jonathan D. Stallings, for the triage of hemorrhaging patients. The research centers on the formulation and validation of an intelligent system designed to prognosticate hemorrhage risk in trauma patients. Its chief aim is to furnish an automated decision-support instrument for deployment in prehospital and military contexts, wherein the expedient recognition of patients with life-threatening bleeding is paramount. Employing merely three routine and readily obtainable vital signs—heart rate, systolic blood pressure, and diastolic blood pressure—the algorithm processes these parameters via an artificial intelligence-based multivariate linear regression model, subsequent to a data preprocessing stage that filters out unreliable measurements. The ultimate output stratifies patients into one of three Hemorrhage Risk Index (HRI) categories: Level I (low risk), Level II (moderate risk), and Level III (high risk).</w:t>
      </w:r>
    </w:p>
    <w:p w14:paraId="4DF8495B" w14:textId="77777777" w:rsidR="007E4B77" w:rsidRPr="000132BD" w:rsidRDefault="007E4B77" w:rsidP="007E4B77">
      <w:pPr>
        <w:jc w:val="both"/>
        <w:rPr>
          <w:sz w:val="20"/>
          <w:szCs w:val="20"/>
        </w:rPr>
      </w:pPr>
      <w:r w:rsidRPr="000132BD">
        <w:rPr>
          <w:sz w:val="20"/>
          <w:szCs w:val="20"/>
        </w:rPr>
        <w:t>The findings, based on an examination of 540 hours of continuous vital sign data from 1,659 trauma patients, reveal the algorithm’s considerable discriminative capacity. The calculated likelihood ratio for hemorrhage among high-risk (Level III) patients was 5.75 (95% confidence interval: 3.57 to 7.93), denoting that the probability of hemorrhage in this cohort exceeds fivefold that of moderately at-risk patients. Conversely, the likelihood ratio for low-risk patients (Level I) was a mere 0.28, indicating a markedly diminished risk. Moreover, the algorithm demonstrated notable temporal stability, with the initial risk classification persisting unchanged in over 80% of cases. These results imply that APPRAISE-HRI, by virtue of its straightforward and swift analysis of vital signs, can substantially aid medical personnel in prioritizing casualties necessitating immediate intervention, such as emergency evacuation or the administration of blood products. This application is especially germane to mass casualty incidents or military environments, where resources and time are severely limited. As an adjunct to clinical judgment, this system holds the potential to enhance treatment outcomes and decrease preventable mortality attributable to hemorrhage.</w:t>
      </w:r>
    </w:p>
    <w:p w14:paraId="180B38DB" w14:textId="49230366" w:rsidR="007E4B77" w:rsidRDefault="007E4B77" w:rsidP="007E4B77">
      <w:pPr>
        <w:jc w:val="both"/>
        <w:rPr>
          <w:sz w:val="20"/>
          <w:szCs w:val="20"/>
        </w:rPr>
      </w:pPr>
      <w:r w:rsidRPr="000132BD">
        <w:rPr>
          <w:sz w:val="20"/>
          <w:szCs w:val="20"/>
        </w:rPr>
        <w:t>In summary, APPRAISE-HRI evinces significant promise as a rapid and efficacious triage tool by providing accurate risk stratification for hemorrhage through the analysis of minimal vital signs. Its capacity to reliably prioritize patients for urgent intervention renders it a valuable decision-support aid within resource-constrained prehospital and military settings. Consequently, this algorithm can augment clinical judgment to improve patient outcomes and mitigate preventable mortality from bleeding.</w:t>
      </w:r>
    </w:p>
    <w:p w14:paraId="6F0D1EF9" w14:textId="77777777" w:rsidR="007E4B77" w:rsidRPr="007E4B77" w:rsidRDefault="007E4B77" w:rsidP="007E4B77">
      <w:pPr>
        <w:jc w:val="both"/>
        <w:rPr>
          <w:rFonts w:asciiTheme="majorBidi" w:hAnsiTheme="majorBidi" w:cstheme="majorBidi"/>
          <w:b/>
          <w:bCs/>
          <w:sz w:val="22"/>
          <w:szCs w:val="22"/>
          <w:rtl/>
        </w:rPr>
      </w:pPr>
      <w:r w:rsidRPr="007E4B77">
        <w:rPr>
          <w:rFonts w:asciiTheme="majorBidi" w:hAnsiTheme="majorBidi" w:cstheme="majorBidi"/>
          <w:b/>
          <w:bCs/>
          <w:sz w:val="22"/>
          <w:szCs w:val="22"/>
        </w:rPr>
        <w:t>The role of artificial intelligence in triage and early diagnosis of ocular emergencies</w:t>
      </w:r>
    </w:p>
    <w:p w14:paraId="656A2C64" w14:textId="77777777" w:rsidR="007E4B77" w:rsidRPr="00D453F2" w:rsidRDefault="007E4B77" w:rsidP="007E4B77">
      <w:pPr>
        <w:jc w:val="both"/>
        <w:rPr>
          <w:rFonts w:asciiTheme="majorBidi" w:hAnsiTheme="majorBidi" w:cstheme="majorBidi"/>
          <w:sz w:val="20"/>
          <w:szCs w:val="20"/>
        </w:rPr>
      </w:pPr>
      <w:r w:rsidRPr="00D453F2">
        <w:rPr>
          <w:rFonts w:asciiTheme="majorBidi" w:hAnsiTheme="majorBidi" w:cstheme="majorBidi"/>
          <w:sz w:val="20"/>
          <w:szCs w:val="20"/>
        </w:rPr>
        <w:t>Within the field of ophthalmology, artificial intelligence, specifically through clinical decision support systems, has become a significant innovation for enhancing patient triage and referral. These systems employ structured algorithms, including decision trees, to evaluate clinical information derived from patient symptoms and medical history. This process yields initial diagnostic assessments and establishes the requisite priority level for specialist consultation. Empirical research suggests that this methodology not only increases diagnostic precision relative to general practitioners—as exemplified in work by researcher Stuti M. Tanya, which demonstrated a 53.1% concordance with ophthalmologists compared to 43.8%—but also refines the efficiency and consistency of referrals by systematizing data acquisition and minimizing administrative burdens. This advantage is especially critical in regions with limited healthcare resources or during public health crises like the COVID-19 pandemic, where direct clinical access is constrained.</w:t>
      </w:r>
    </w:p>
    <w:p w14:paraId="3535F4EF" w14:textId="77777777" w:rsidR="007E4B77" w:rsidRPr="00D453F2" w:rsidRDefault="007E4B77" w:rsidP="007E4B77">
      <w:pPr>
        <w:jc w:val="both"/>
        <w:rPr>
          <w:rFonts w:asciiTheme="majorBidi" w:hAnsiTheme="majorBidi" w:cstheme="majorBidi"/>
          <w:sz w:val="20"/>
          <w:szCs w:val="20"/>
        </w:rPr>
      </w:pPr>
      <w:r w:rsidRPr="00D453F2">
        <w:rPr>
          <w:rFonts w:asciiTheme="majorBidi" w:hAnsiTheme="majorBidi" w:cstheme="majorBidi"/>
          <w:sz w:val="20"/>
          <w:szCs w:val="20"/>
        </w:rPr>
        <w:t xml:space="preserve">Nevertheless, existing systems confront persistent issues, such as constrained diagnostic coverage and the potential for underestimating case urgency, resulting in false negatives. For instance, the cited study reported a 7.3% incidence of "decision tree failure" attributable to insufficient encompassment of clinical presentations. Prospective advancements for these systems involve the incorporation of more sophisticated machine learning models, like random forests and deep neural networks. These are anticipated to bolster predictive reliability and increase system sensitivity in detecting critical cases through the analysis of more extensive datasets. Furthermore, </w:t>
      </w:r>
      <w:r w:rsidRPr="00D453F2">
        <w:rPr>
          <w:rFonts w:asciiTheme="majorBidi" w:hAnsiTheme="majorBidi" w:cstheme="majorBidi"/>
          <w:sz w:val="20"/>
          <w:szCs w:val="20"/>
        </w:rPr>
        <w:lastRenderedPageBreak/>
        <w:t>augmenting systems with natural language processing to interpret clinician notes and seamless integration with electronic health records could foster greater personalization and operational efficacy. In principle, this technology may establish a broadly applicable paradigm extendable beyond ophthalmology to numerous medical specialties, thereby transforming triage systems and the pathway to specialized care.</w:t>
      </w:r>
    </w:p>
    <w:p w14:paraId="72025148" w14:textId="77777777" w:rsidR="007E4B77" w:rsidRPr="00D453F2" w:rsidRDefault="007E4B77" w:rsidP="007E4B77">
      <w:pPr>
        <w:jc w:val="both"/>
        <w:rPr>
          <w:rFonts w:asciiTheme="majorBidi" w:hAnsiTheme="majorBidi" w:cstheme="majorBidi"/>
          <w:sz w:val="20"/>
          <w:szCs w:val="20"/>
        </w:rPr>
      </w:pPr>
      <w:r w:rsidRPr="00D453F2">
        <w:rPr>
          <w:rFonts w:asciiTheme="majorBidi" w:hAnsiTheme="majorBidi" w:cstheme="majorBidi"/>
          <w:sz w:val="20"/>
          <w:szCs w:val="20"/>
        </w:rPr>
        <w:t>In a complementary investigation, researcher Juan Chen appraises a multifunctional AI system designated EE-Explorer, engineered to optimize triage and initial assessment for patients presenting with acute ocular complaints. This system synthesizes metadata—encompassing event details, symptoms, and medical history—with ocular images, such as smartphone photographs of the eye surface and slit-lamp captures, to categorize patients into urgent, semi-urgent, and non-urgent groups. It concurrently offers a preliminary diagnostic framework capable of recognizing 18 common ocular disorders with considerable accuracy.</w:t>
      </w:r>
    </w:p>
    <w:p w14:paraId="5DF53CE7" w14:textId="77777777" w:rsidR="007E4B77" w:rsidRPr="00D453F2" w:rsidRDefault="007E4B77" w:rsidP="007E4B77">
      <w:pPr>
        <w:jc w:val="both"/>
        <w:rPr>
          <w:rFonts w:asciiTheme="majorBidi" w:hAnsiTheme="majorBidi" w:cstheme="majorBidi"/>
          <w:sz w:val="20"/>
          <w:szCs w:val="20"/>
        </w:rPr>
      </w:pPr>
      <w:r w:rsidRPr="00D453F2">
        <w:rPr>
          <w:rFonts w:asciiTheme="majorBidi" w:hAnsiTheme="majorBidi" w:cstheme="majorBidi"/>
          <w:sz w:val="20"/>
          <w:szCs w:val="20"/>
        </w:rPr>
        <w:t>The study results indicate that the EE-Explorer triage model attained an area under the ROC curve of 0.982 on internal validation and 0.988 on external data, substantially exceeding the performance of standard nursing triage. For its diagnostic component, the reported classification accuracy was 0.808 internally and 0.718 on external tests. A pilot study within a tiered referral network further validated the system, noting decreased patient anxiety and accelerated provision of suitable medical interventions. Collectively, EE-Explorer represents a precise, accessible, and scalable adjunctive instrument that can mitigate pressure on specialized ophthalmological emergency departments, enhance primary care accessibility in underserved locales, and avert vision impairment caused by treatment delays.</w:t>
      </w:r>
    </w:p>
    <w:p w14:paraId="242E4C9A" w14:textId="77777777" w:rsidR="007E4B77" w:rsidRDefault="007E4B77" w:rsidP="007E4B77">
      <w:pPr>
        <w:jc w:val="both"/>
        <w:rPr>
          <w:rFonts w:asciiTheme="majorBidi" w:hAnsiTheme="majorBidi" w:cstheme="majorBidi"/>
          <w:sz w:val="20"/>
          <w:szCs w:val="20"/>
        </w:rPr>
      </w:pPr>
      <w:r w:rsidRPr="00D453F2">
        <w:rPr>
          <w:rFonts w:asciiTheme="majorBidi" w:hAnsiTheme="majorBidi" w:cstheme="majorBidi"/>
          <w:sz w:val="20"/>
          <w:szCs w:val="20"/>
        </w:rPr>
        <w:t>In summary, AI-based clinical decision support systems in ophthalmology exhibit substantial promise for refining triage accuracy, optimizing referral workflows, and expanding access to specialized care, particularly in resource-limited environments. However, obstacles including diagnostic gaps and false negatives underscore the necessity for integrating more advanced models and diverse data streams. With continued development, this technology is poised to function as an adaptable and revolutionary structure across multiple medical specialties, fundamentally reshaping patient management and healthcare service delivery.</w:t>
      </w:r>
    </w:p>
    <w:p w14:paraId="66D6037E" w14:textId="77777777" w:rsidR="007E4B77" w:rsidRPr="007E4B77" w:rsidRDefault="007E4B77" w:rsidP="007E4B77">
      <w:pPr>
        <w:jc w:val="both"/>
        <w:rPr>
          <w:rFonts w:asciiTheme="majorBidi" w:hAnsiTheme="majorBidi" w:cstheme="majorBidi"/>
          <w:b/>
          <w:bCs/>
          <w:sz w:val="22"/>
          <w:szCs w:val="22"/>
          <w:rtl/>
        </w:rPr>
      </w:pPr>
      <w:r w:rsidRPr="007E4B77">
        <w:rPr>
          <w:rFonts w:asciiTheme="majorBidi" w:hAnsiTheme="majorBidi" w:cstheme="majorBidi"/>
          <w:b/>
          <w:bCs/>
          <w:sz w:val="22"/>
          <w:szCs w:val="22"/>
        </w:rPr>
        <w:t>The role of AI in COVID-19 triage</w:t>
      </w:r>
    </w:p>
    <w:p w14:paraId="3B50F2F2" w14:textId="77777777" w:rsidR="007E4B77" w:rsidRPr="005F1620" w:rsidRDefault="007E4B77" w:rsidP="007E4B77">
      <w:pPr>
        <w:jc w:val="both"/>
        <w:rPr>
          <w:rFonts w:asciiTheme="majorBidi" w:hAnsiTheme="majorBidi" w:cstheme="majorBidi"/>
          <w:sz w:val="20"/>
          <w:szCs w:val="20"/>
        </w:rPr>
      </w:pPr>
      <w:r w:rsidRPr="005F1620">
        <w:rPr>
          <w:rFonts w:asciiTheme="majorBidi" w:hAnsiTheme="majorBidi" w:cstheme="majorBidi"/>
          <w:sz w:val="20"/>
          <w:szCs w:val="20"/>
        </w:rPr>
        <w:t>Recent scholarly work positions artificial intelligence (AI) as a potent and precise instrument for the triage and diagnosis of individuals suspected of COVID-19 within general healthcare facilities. In clinical investigations, such as one involving 3,235 patients exhibiting influenza-like symptoms, AI algorithms (e.g., CAD4COVID) were deployed to analyze chest radiographs, complemented by specialized software for evaluating high-resolution computed tomography (HRCT) scans. This combined methodology demonstrated high efficacy, with a sensitivity of 97.9% and a specificity of 99%, enabling the stratification of patients into two principal cohorts: a low-probability group for significant pulmonary involvement (AI score &lt;50), suitable for outpatient management, and a high-probability group (AI score &gt;50), necessitating further evaluation via HRCT and confirmatory testing. This approach expedites diagnostic processes and mitigates strain on healthcare systems by lessening dependence on RT-PCR tests, which are constrained by variable sensitivity and protracted processing times.</w:t>
      </w:r>
    </w:p>
    <w:p w14:paraId="2B84FAF1" w14:textId="77777777" w:rsidR="007E4B77" w:rsidRPr="005F1620" w:rsidRDefault="007E4B77" w:rsidP="007E4B77">
      <w:pPr>
        <w:jc w:val="both"/>
        <w:rPr>
          <w:rFonts w:asciiTheme="majorBidi" w:hAnsiTheme="majorBidi" w:cstheme="majorBidi"/>
          <w:sz w:val="20"/>
          <w:szCs w:val="20"/>
        </w:rPr>
      </w:pPr>
      <w:r w:rsidRPr="005F1620">
        <w:rPr>
          <w:rFonts w:asciiTheme="majorBidi" w:hAnsiTheme="majorBidi" w:cstheme="majorBidi"/>
          <w:sz w:val="20"/>
          <w:szCs w:val="20"/>
        </w:rPr>
        <w:t>The utility of AI extends beyond initial screening to the crucial assessment of disease severity. Through the automated computation of a CT severity score and quantification of lobar involvement, AI facilitates the categorization of cases as mild, moderate, or severe. This stratification directly informs clinical decisions regarding patient placement in general wards, isolation units, or intensive care, proving particularly advantageous for facilities lacking dedicated COVID-19 resources. By serving as an intelligent primary triage mechanism, AI can help curb disease transmission and optimize the allocation of scarce personnel and equipment.</w:t>
      </w:r>
    </w:p>
    <w:p w14:paraId="279BBEE7" w14:textId="77777777" w:rsidR="007E4B77" w:rsidRDefault="007E4B77" w:rsidP="007E4B77">
      <w:pPr>
        <w:jc w:val="both"/>
        <w:rPr>
          <w:rFonts w:asciiTheme="majorBidi" w:hAnsiTheme="majorBidi" w:cstheme="majorBidi"/>
          <w:sz w:val="20"/>
          <w:szCs w:val="20"/>
        </w:rPr>
      </w:pPr>
      <w:r w:rsidRPr="005F1620">
        <w:rPr>
          <w:rFonts w:asciiTheme="majorBidi" w:hAnsiTheme="majorBidi" w:cstheme="majorBidi"/>
          <w:sz w:val="20"/>
          <w:szCs w:val="20"/>
        </w:rPr>
        <w:t xml:space="preserve">Further advancing this domain, recent research has introduced automated, integrated AI systems expressly engineered to minimize bias and improve generalizability in clinical practice. One such framework employs a processing pipeline that automatically retrieves chest radiographs for analysis by three interconnected AI models. These models are tasked respectively with detecting COVID-19 pneumonia, evaluating disease severity, and forecasting the time to critical </w:t>
      </w:r>
      <w:r w:rsidRPr="005F1620">
        <w:rPr>
          <w:rFonts w:asciiTheme="majorBidi" w:hAnsiTheme="majorBidi" w:cstheme="majorBidi"/>
          <w:sz w:val="20"/>
          <w:szCs w:val="20"/>
        </w:rPr>
        <w:lastRenderedPageBreak/>
        <w:t>complications. Trained and validated on extensive, multi-source datasets, these hybrid models—which integrate imaging with clinical data—have exhibited diagnostic accuracy surpassing that of human radiologists in certain contexts, correctly identifying cases initially reported as normal despite positive PCR results. This body of work underscores the technical superiority of such integrated models and, by detailing a comprehensive operational framework from image retrieval to prognostic reporting, represents a substantive advancement in translating AI research into tangible clinical application. Collectively, the integration of AI into imaging protocols furnishes a cost-effective and scalable solution for pandemic response, enhancing diagnostic efficiency while bridging the critical gap between algorithmic innovation and practical healthcare delivery.</w:t>
      </w:r>
    </w:p>
    <w:p w14:paraId="6067FB3D" w14:textId="77777777" w:rsidR="007E4B77" w:rsidRPr="007E4B77" w:rsidRDefault="007E4B77" w:rsidP="007E4B77">
      <w:pPr>
        <w:jc w:val="both"/>
        <w:rPr>
          <w:rFonts w:asciiTheme="majorBidi" w:hAnsiTheme="majorBidi" w:cstheme="majorBidi"/>
          <w:b/>
          <w:bCs/>
          <w:sz w:val="22"/>
          <w:szCs w:val="22"/>
          <w:lang w:bidi="fa-IR"/>
        </w:rPr>
      </w:pPr>
      <w:r w:rsidRPr="007E4B77">
        <w:rPr>
          <w:rFonts w:asciiTheme="majorBidi" w:hAnsiTheme="majorBidi" w:cstheme="majorBidi"/>
          <w:b/>
          <w:bCs/>
          <w:sz w:val="22"/>
          <w:szCs w:val="22"/>
        </w:rPr>
        <w:t xml:space="preserve">The Role of Artificial Intelligence </w:t>
      </w:r>
      <w:r w:rsidRPr="007E4B77">
        <w:rPr>
          <w:rFonts w:asciiTheme="majorBidi" w:hAnsiTheme="majorBidi" w:cstheme="majorBidi"/>
          <w:b/>
          <w:bCs/>
          <w:sz w:val="22"/>
          <w:szCs w:val="22"/>
          <w:lang w:bidi="fa-IR"/>
        </w:rPr>
        <w:t>in Gynecological Triage</w:t>
      </w:r>
    </w:p>
    <w:p w14:paraId="101E45BB" w14:textId="77777777" w:rsidR="007E4B77" w:rsidRPr="007E4B77" w:rsidRDefault="007E4B77" w:rsidP="007E4B77">
      <w:pPr>
        <w:jc w:val="both"/>
        <w:rPr>
          <w:rFonts w:asciiTheme="majorBidi" w:hAnsiTheme="majorBidi" w:cstheme="majorBidi"/>
          <w:sz w:val="20"/>
          <w:szCs w:val="20"/>
        </w:rPr>
      </w:pPr>
      <w:r w:rsidRPr="007E4B77">
        <w:rPr>
          <w:rFonts w:asciiTheme="majorBidi" w:hAnsiTheme="majorBidi" w:cstheme="majorBidi"/>
          <w:sz w:val="20"/>
          <w:szCs w:val="20"/>
        </w:rPr>
        <w:t xml:space="preserve">The advent of artificial intelligence has introduced a paradigm shift in the approach to diagnosing and managing gynecological diseases. By processing complex clinical data and delivering integrated solutions, this technology improves diagnostic precision and expands access to specialized care. Within this landscape, intelligent systems like </w:t>
      </w:r>
      <w:proofErr w:type="spellStart"/>
      <w:r w:rsidRPr="007E4B77">
        <w:rPr>
          <w:rFonts w:asciiTheme="majorBidi" w:hAnsiTheme="majorBidi" w:cstheme="majorBidi"/>
          <w:sz w:val="20"/>
          <w:szCs w:val="20"/>
        </w:rPr>
        <w:t>SmartGyne</w:t>
      </w:r>
      <w:proofErr w:type="spellEnd"/>
      <w:r w:rsidRPr="007E4B77">
        <w:rPr>
          <w:rFonts w:asciiTheme="majorBidi" w:hAnsiTheme="majorBidi" w:cstheme="majorBidi"/>
          <w:sz w:val="20"/>
          <w:szCs w:val="20"/>
        </w:rPr>
        <w:t xml:space="preserve"> have been developed to promote more accurate and equitable healthcare delivery in women's health.</w:t>
      </w:r>
    </w:p>
    <w:p w14:paraId="7465BFFE" w14:textId="77777777" w:rsidR="007E4B77" w:rsidRPr="007E4B77" w:rsidRDefault="007E4B77" w:rsidP="007E4B77">
      <w:pPr>
        <w:jc w:val="both"/>
        <w:rPr>
          <w:rFonts w:asciiTheme="majorBidi" w:hAnsiTheme="majorBidi" w:cstheme="majorBidi"/>
          <w:sz w:val="20"/>
          <w:szCs w:val="20"/>
        </w:rPr>
      </w:pPr>
      <w:r w:rsidRPr="007E4B77">
        <w:rPr>
          <w:rFonts w:asciiTheme="majorBidi" w:hAnsiTheme="majorBidi" w:cstheme="majorBidi"/>
          <w:sz w:val="20"/>
          <w:szCs w:val="20"/>
        </w:rPr>
        <w:t xml:space="preserve">In a pertinent research article, </w:t>
      </w:r>
      <w:proofErr w:type="spellStart"/>
      <w:r w:rsidRPr="007E4B77">
        <w:rPr>
          <w:rFonts w:asciiTheme="majorBidi" w:hAnsiTheme="majorBidi" w:cstheme="majorBidi"/>
          <w:sz w:val="20"/>
          <w:szCs w:val="20"/>
        </w:rPr>
        <w:t>Linru</w:t>
      </w:r>
      <w:proofErr w:type="spellEnd"/>
      <w:r w:rsidRPr="007E4B77">
        <w:rPr>
          <w:rFonts w:asciiTheme="majorBidi" w:hAnsiTheme="majorBidi" w:cstheme="majorBidi"/>
          <w:sz w:val="20"/>
          <w:szCs w:val="20"/>
        </w:rPr>
        <w:t xml:space="preserve"> Fu presents the intelligent system </w:t>
      </w:r>
      <w:proofErr w:type="spellStart"/>
      <w:r w:rsidRPr="007E4B77">
        <w:rPr>
          <w:rFonts w:asciiTheme="majorBidi" w:hAnsiTheme="majorBidi" w:cstheme="majorBidi"/>
          <w:sz w:val="20"/>
          <w:szCs w:val="20"/>
        </w:rPr>
        <w:t>SmartGyne</w:t>
      </w:r>
      <w:proofErr w:type="spellEnd"/>
      <w:r w:rsidRPr="007E4B77">
        <w:rPr>
          <w:rFonts w:asciiTheme="majorBidi" w:hAnsiTheme="majorBidi" w:cstheme="majorBidi"/>
          <w:sz w:val="20"/>
          <w:szCs w:val="20"/>
        </w:rPr>
        <w:t xml:space="preserve">, conceived to address a limitation in prevailing artificial intelligence (AI) systems that typically concentrate on either broad disease categorization or the diagnosis of an isolated condition. This system offers an integrated framework for conducting concurrent primary triage and specialized diagnosis for gynecological diseases. The architecture of </w:t>
      </w:r>
      <w:proofErr w:type="spellStart"/>
      <w:r w:rsidRPr="007E4B77">
        <w:rPr>
          <w:rFonts w:asciiTheme="majorBidi" w:hAnsiTheme="majorBidi" w:cstheme="majorBidi"/>
          <w:sz w:val="20"/>
          <w:szCs w:val="20"/>
        </w:rPr>
        <w:t>SmartGyne</w:t>
      </w:r>
      <w:proofErr w:type="spellEnd"/>
      <w:r w:rsidRPr="007E4B77">
        <w:rPr>
          <w:rFonts w:asciiTheme="majorBidi" w:hAnsiTheme="majorBidi" w:cstheme="majorBidi"/>
          <w:sz w:val="20"/>
          <w:szCs w:val="20"/>
        </w:rPr>
        <w:t xml:space="preserve"> is predicated on advanced natural language processing (NLP) and machine learning models. Through the automated extraction of clinical evidence from extensive Chinese-language electronic medical records (EMRs), the system generates a structured patient feature table and a dedicated gynecological knowledge graph. This knowledge graph, produced by the automatic identification of medical concepts and their relationships from unstructured text, furnishes a robust foundation for the diagnostic models.</w:t>
      </w:r>
    </w:p>
    <w:p w14:paraId="7E8361CA" w14:textId="77777777" w:rsidR="007E4B77" w:rsidRPr="007E4B77" w:rsidRDefault="007E4B77" w:rsidP="007E4B77">
      <w:pPr>
        <w:jc w:val="both"/>
        <w:rPr>
          <w:rFonts w:asciiTheme="majorBidi" w:hAnsiTheme="majorBidi" w:cstheme="majorBidi"/>
          <w:sz w:val="20"/>
          <w:szCs w:val="20"/>
        </w:rPr>
      </w:pPr>
      <w:r w:rsidRPr="007E4B77">
        <w:rPr>
          <w:rFonts w:asciiTheme="majorBidi" w:hAnsiTheme="majorBidi" w:cstheme="majorBidi"/>
          <w:sz w:val="20"/>
          <w:szCs w:val="20"/>
        </w:rPr>
        <w:t xml:space="preserve">Within </w:t>
      </w:r>
      <w:proofErr w:type="spellStart"/>
      <w:r w:rsidRPr="007E4B77">
        <w:rPr>
          <w:rFonts w:asciiTheme="majorBidi" w:hAnsiTheme="majorBidi" w:cstheme="majorBidi"/>
          <w:sz w:val="20"/>
          <w:szCs w:val="20"/>
        </w:rPr>
        <w:t>SmartGyne</w:t>
      </w:r>
      <w:proofErr w:type="spellEnd"/>
      <w:r w:rsidRPr="007E4B77">
        <w:rPr>
          <w:rFonts w:asciiTheme="majorBidi" w:hAnsiTheme="majorBidi" w:cstheme="majorBidi"/>
          <w:sz w:val="20"/>
          <w:szCs w:val="20"/>
        </w:rPr>
        <w:t xml:space="preserve">, the triage stage is executed utilizing a clinical knowledge and ICD-10 code-based hierarchy of gynecological diseases. At each node of this hierarchy, a classification and regression tree (CART) model directs patients toward the appropriate classification. For the specialized diagnostic phase, the system employs pelvic floor disorders (PFD) as a case study, establishing an optimized machine learning-guided diagnostic pathway that incorporates key questions, physical examinations, and paraclinical tests. Evaluations performed on real-world data from Beijing Hospital indicate that the system attained an overall triage accuracy of 80.1% and a diagnostic accuracy for PFD of 99.4%. Relative to human physicians, </w:t>
      </w:r>
      <w:proofErr w:type="spellStart"/>
      <w:r w:rsidRPr="007E4B77">
        <w:rPr>
          <w:rFonts w:asciiTheme="majorBidi" w:hAnsiTheme="majorBidi" w:cstheme="majorBidi"/>
          <w:sz w:val="20"/>
          <w:szCs w:val="20"/>
        </w:rPr>
        <w:t>SmartGyne's</w:t>
      </w:r>
      <w:proofErr w:type="spellEnd"/>
      <w:r w:rsidRPr="007E4B77">
        <w:rPr>
          <w:rFonts w:asciiTheme="majorBidi" w:hAnsiTheme="majorBidi" w:cstheme="majorBidi"/>
          <w:sz w:val="20"/>
          <w:szCs w:val="20"/>
        </w:rPr>
        <w:t xml:space="preserve"> performance was equivalent to that of senior specialists and substantially elevated the diagnostic accuracy of less-experienced doctors from 16% to 100%. This system holds the potential not only to alleviate triage burdens in large hospitals but also to function as a potent diagnostic assistant in settings with constrained access to specialists. Thereby, it enhances the efficiency and equity of women's healthcare delivery and proposes a replicable model for the development of analogous systems in other medical specialties.</w:t>
      </w:r>
    </w:p>
    <w:p w14:paraId="15E7209F" w14:textId="114B7F97" w:rsidR="007E4B77" w:rsidRDefault="007E4B77" w:rsidP="007E4B77">
      <w:pPr>
        <w:jc w:val="both"/>
        <w:rPr>
          <w:rFonts w:asciiTheme="majorBidi" w:hAnsiTheme="majorBidi" w:cstheme="majorBidi"/>
          <w:sz w:val="20"/>
          <w:szCs w:val="20"/>
        </w:rPr>
      </w:pPr>
      <w:proofErr w:type="spellStart"/>
      <w:r w:rsidRPr="007E4B77">
        <w:rPr>
          <w:rFonts w:asciiTheme="majorBidi" w:hAnsiTheme="majorBidi" w:cstheme="majorBidi"/>
          <w:sz w:val="20"/>
          <w:szCs w:val="20"/>
        </w:rPr>
        <w:t>SmartGyne</w:t>
      </w:r>
      <w:proofErr w:type="spellEnd"/>
      <w:r w:rsidRPr="007E4B77">
        <w:rPr>
          <w:rFonts w:asciiTheme="majorBidi" w:hAnsiTheme="majorBidi" w:cstheme="majorBidi"/>
          <w:sz w:val="20"/>
          <w:szCs w:val="20"/>
        </w:rPr>
        <w:t xml:space="preserve"> illustrates that an integrated AI system for both triage and specialized diagnosis can attain high accuracy, perform comparably to expert physicians, and markedly augment the performance of junior doctors. This research furnishes a practical model for advancing healthcare efficiency and accessibility in gynecology, with potential applicability across other medical fields.</w:t>
      </w:r>
    </w:p>
    <w:p w14:paraId="0D5196A9" w14:textId="2482D28F" w:rsidR="006D2261" w:rsidRDefault="00D933F4" w:rsidP="007E4B77">
      <w:pPr>
        <w:jc w:val="both"/>
        <w:rPr>
          <w:rFonts w:asciiTheme="majorBidi" w:hAnsiTheme="majorBidi" w:cstheme="majorBidi"/>
          <w:b/>
          <w:bCs/>
          <w:sz w:val="22"/>
          <w:szCs w:val="22"/>
          <w:lang w:bidi="fa-IR"/>
        </w:rPr>
      </w:pPr>
      <w:r w:rsidRPr="00D933F4">
        <w:rPr>
          <w:rFonts w:asciiTheme="majorBidi" w:hAnsiTheme="majorBidi" w:cstheme="majorBidi"/>
          <w:b/>
          <w:bCs/>
          <w:sz w:val="22"/>
          <w:szCs w:val="22"/>
          <w:lang w:bidi="fa-IR"/>
        </w:rPr>
        <w:t>Conclusion</w:t>
      </w:r>
    </w:p>
    <w:p w14:paraId="51113028" w14:textId="77777777" w:rsidR="00D933F4" w:rsidRPr="00D933F4" w:rsidRDefault="00D933F4" w:rsidP="00D933F4">
      <w:pPr>
        <w:jc w:val="both"/>
        <w:rPr>
          <w:rFonts w:asciiTheme="majorBidi" w:hAnsiTheme="majorBidi" w:cstheme="majorBidi"/>
          <w:sz w:val="20"/>
          <w:szCs w:val="20"/>
          <w:lang w:bidi="fa-IR"/>
        </w:rPr>
      </w:pPr>
      <w:r w:rsidRPr="00D933F4">
        <w:rPr>
          <w:rFonts w:asciiTheme="majorBidi" w:hAnsiTheme="majorBidi" w:cstheme="majorBidi"/>
          <w:sz w:val="20"/>
          <w:szCs w:val="20"/>
          <w:lang w:bidi="fa-IR"/>
        </w:rPr>
        <w:t>In summary, the advancement and deployment of artificial intelligence within medical triage systems, especially in emergency settings, constitutes a substantial departure from conventional patient management paradigms. Utilizing machine learning algorithms, natural language processing, and multimodal data analysis, this technology markedly improves the capacity to expedite initial patient evaluations, augment diagnostic precision, and rationalize the distribution of constrained resources.</w:t>
      </w:r>
    </w:p>
    <w:p w14:paraId="1B713D95" w14:textId="77777777" w:rsidR="00D933F4" w:rsidRPr="00D933F4" w:rsidRDefault="00D933F4" w:rsidP="00D933F4">
      <w:pPr>
        <w:jc w:val="both"/>
        <w:rPr>
          <w:rFonts w:asciiTheme="majorBidi" w:hAnsiTheme="majorBidi" w:cstheme="majorBidi"/>
          <w:sz w:val="20"/>
          <w:szCs w:val="20"/>
          <w:lang w:bidi="fa-IR"/>
        </w:rPr>
      </w:pPr>
      <w:r w:rsidRPr="00D933F4">
        <w:rPr>
          <w:rFonts w:asciiTheme="majorBidi" w:hAnsiTheme="majorBidi" w:cstheme="majorBidi"/>
          <w:sz w:val="20"/>
          <w:szCs w:val="20"/>
          <w:lang w:bidi="fa-IR"/>
        </w:rPr>
        <w:lastRenderedPageBreak/>
        <w:t>Research spanning varied clinical domains—including stroke, acute hemorrhage, ocular emergencies, COVID-19, and gynecological conditions—indicates that these intelligent systems effectively diminish patient wait durations while also delivering more impartial, evidence-based assessments, thereby reducing errors stemming from subjective clinical judgment. Instances such as APPRAISE-HRI for hemorrhage triage, EE-Explorer for ocular emergencies, and </w:t>
      </w:r>
      <w:proofErr w:type="spellStart"/>
      <w:r w:rsidRPr="00D933F4">
        <w:rPr>
          <w:rFonts w:asciiTheme="majorBidi" w:hAnsiTheme="majorBidi" w:cstheme="majorBidi"/>
          <w:sz w:val="20"/>
          <w:szCs w:val="20"/>
          <w:lang w:bidi="fa-IR"/>
        </w:rPr>
        <w:t>SmartGyne</w:t>
      </w:r>
      <w:proofErr w:type="spellEnd"/>
      <w:r w:rsidRPr="00D933F4">
        <w:rPr>
          <w:rFonts w:asciiTheme="majorBidi" w:hAnsiTheme="majorBidi" w:cstheme="majorBidi"/>
          <w:sz w:val="20"/>
          <w:szCs w:val="20"/>
          <w:lang w:bidi="fa-IR"/>
        </w:rPr>
        <w:t> for gynecological diseases exemplify how AI functions as a potent adjunct to, rather than a substitute for, medical decision-making, ultimately enhancing treatment outcomes.</w:t>
      </w:r>
    </w:p>
    <w:p w14:paraId="625448CE" w14:textId="77777777" w:rsidR="00D933F4" w:rsidRPr="00D933F4" w:rsidRDefault="00D933F4" w:rsidP="00D933F4">
      <w:pPr>
        <w:jc w:val="both"/>
        <w:rPr>
          <w:rFonts w:asciiTheme="majorBidi" w:hAnsiTheme="majorBidi" w:cstheme="majorBidi"/>
          <w:sz w:val="20"/>
          <w:szCs w:val="20"/>
          <w:lang w:bidi="fa-IR"/>
        </w:rPr>
      </w:pPr>
      <w:r w:rsidRPr="00D933F4">
        <w:rPr>
          <w:rFonts w:asciiTheme="majorBidi" w:hAnsiTheme="majorBidi" w:cstheme="majorBidi"/>
          <w:sz w:val="20"/>
          <w:szCs w:val="20"/>
          <w:lang w:bidi="fa-IR"/>
        </w:rPr>
        <w:t>Nevertheless, the complete actualization of this promise necessitates rigorous engagement with enduring obstacles. Essential requirements involve robust validation via multicenter studies, enhanced algorithmic transparency, equitable application across heterogeneous patient demographics, and fluid integration into established clinical workflows. Concurrently, ethical considerations, data privacy, and the endorsement by healthcare professionals require deliberate and systematic resolution.</w:t>
      </w:r>
    </w:p>
    <w:p w14:paraId="5679F235" w14:textId="77777777" w:rsidR="00D933F4" w:rsidRDefault="00D933F4" w:rsidP="00D933F4">
      <w:pPr>
        <w:jc w:val="both"/>
        <w:rPr>
          <w:rFonts w:asciiTheme="majorBidi" w:hAnsiTheme="majorBidi" w:cstheme="majorBidi"/>
          <w:sz w:val="20"/>
          <w:szCs w:val="20"/>
          <w:lang w:bidi="fa-IR"/>
        </w:rPr>
      </w:pPr>
      <w:r w:rsidRPr="00D933F4">
        <w:rPr>
          <w:rFonts w:asciiTheme="majorBidi" w:hAnsiTheme="majorBidi" w:cstheme="majorBidi"/>
          <w:sz w:val="20"/>
          <w:szCs w:val="20"/>
          <w:lang w:bidi="fa-IR"/>
        </w:rPr>
        <w:t>Prospectively, the convergence of AI with innovations such as wearable devices, sophisticated image processing, and unified health information systems holds the potential to foster the creation of intelligent, adaptive, and fair triage ecosystems. This trajectory marks a pivotal progression toward more personalized, efficient, and universally accessible healthcare—contingent upon its evolution and implementation being steered by principles of social responsibility and harmonized with human values.</w:t>
      </w:r>
    </w:p>
    <w:p w14:paraId="29D4A9C3" w14:textId="77777777" w:rsidR="00C50E03" w:rsidRDefault="00C50E03" w:rsidP="00D933F4">
      <w:pPr>
        <w:jc w:val="both"/>
        <w:rPr>
          <w:rFonts w:asciiTheme="majorBidi" w:hAnsiTheme="majorBidi" w:cstheme="majorBidi"/>
          <w:sz w:val="20"/>
          <w:szCs w:val="20"/>
          <w:lang w:bidi="fa-IR"/>
        </w:rPr>
      </w:pPr>
    </w:p>
    <w:p w14:paraId="26288359" w14:textId="77777777" w:rsidR="00C50E03" w:rsidRDefault="00C50E03" w:rsidP="00D933F4">
      <w:pPr>
        <w:jc w:val="both"/>
        <w:rPr>
          <w:rFonts w:asciiTheme="majorBidi" w:hAnsiTheme="majorBidi" w:cstheme="majorBidi"/>
          <w:sz w:val="20"/>
          <w:szCs w:val="20"/>
          <w:lang w:bidi="fa-IR"/>
        </w:rPr>
      </w:pPr>
    </w:p>
    <w:p w14:paraId="703FEB8B" w14:textId="77777777" w:rsidR="00C50E03" w:rsidRDefault="00C50E03" w:rsidP="00D933F4">
      <w:pPr>
        <w:jc w:val="both"/>
        <w:rPr>
          <w:rFonts w:asciiTheme="majorBidi" w:hAnsiTheme="majorBidi" w:cstheme="majorBidi"/>
          <w:sz w:val="20"/>
          <w:szCs w:val="20"/>
          <w:lang w:bidi="fa-IR"/>
        </w:rPr>
      </w:pPr>
    </w:p>
    <w:p w14:paraId="239DEB84" w14:textId="77777777" w:rsidR="00C50E03" w:rsidRDefault="00C50E03" w:rsidP="00D933F4">
      <w:pPr>
        <w:jc w:val="both"/>
        <w:rPr>
          <w:rFonts w:asciiTheme="majorBidi" w:hAnsiTheme="majorBidi" w:cstheme="majorBidi"/>
          <w:sz w:val="20"/>
          <w:szCs w:val="20"/>
          <w:lang w:bidi="fa-IR"/>
        </w:rPr>
      </w:pPr>
    </w:p>
    <w:p w14:paraId="30262065" w14:textId="77777777" w:rsidR="00C50E03" w:rsidRDefault="00C50E03" w:rsidP="00D933F4">
      <w:pPr>
        <w:jc w:val="both"/>
        <w:rPr>
          <w:rFonts w:asciiTheme="majorBidi" w:hAnsiTheme="majorBidi" w:cstheme="majorBidi"/>
          <w:sz w:val="20"/>
          <w:szCs w:val="20"/>
          <w:lang w:bidi="fa-IR"/>
        </w:rPr>
      </w:pPr>
    </w:p>
    <w:p w14:paraId="6C2982C5" w14:textId="77777777" w:rsidR="00C50E03" w:rsidRDefault="00C50E03" w:rsidP="00D933F4">
      <w:pPr>
        <w:jc w:val="both"/>
        <w:rPr>
          <w:rFonts w:asciiTheme="majorBidi" w:hAnsiTheme="majorBidi" w:cstheme="majorBidi"/>
          <w:sz w:val="20"/>
          <w:szCs w:val="20"/>
          <w:lang w:bidi="fa-IR"/>
        </w:rPr>
      </w:pPr>
    </w:p>
    <w:p w14:paraId="56D5125E" w14:textId="77777777" w:rsidR="00C50E03" w:rsidRDefault="00C50E03" w:rsidP="00D933F4">
      <w:pPr>
        <w:jc w:val="both"/>
        <w:rPr>
          <w:rFonts w:asciiTheme="majorBidi" w:hAnsiTheme="majorBidi" w:cstheme="majorBidi"/>
          <w:sz w:val="20"/>
          <w:szCs w:val="20"/>
          <w:lang w:bidi="fa-IR"/>
        </w:rPr>
      </w:pPr>
    </w:p>
    <w:p w14:paraId="5DE8069F" w14:textId="77777777" w:rsidR="00C50E03" w:rsidRDefault="00C50E03" w:rsidP="00D933F4">
      <w:pPr>
        <w:jc w:val="both"/>
        <w:rPr>
          <w:rFonts w:asciiTheme="majorBidi" w:hAnsiTheme="majorBidi" w:cstheme="majorBidi"/>
          <w:sz w:val="20"/>
          <w:szCs w:val="20"/>
          <w:lang w:bidi="fa-IR"/>
        </w:rPr>
      </w:pPr>
    </w:p>
    <w:p w14:paraId="6EDE6527" w14:textId="77777777" w:rsidR="00C50E03" w:rsidRDefault="00C50E03" w:rsidP="00D933F4">
      <w:pPr>
        <w:jc w:val="both"/>
        <w:rPr>
          <w:rFonts w:asciiTheme="majorBidi" w:hAnsiTheme="majorBidi" w:cstheme="majorBidi"/>
          <w:sz w:val="20"/>
          <w:szCs w:val="20"/>
          <w:lang w:bidi="fa-IR"/>
        </w:rPr>
      </w:pPr>
    </w:p>
    <w:p w14:paraId="52B0D006" w14:textId="77777777" w:rsidR="00C50E03" w:rsidRDefault="00C50E03" w:rsidP="00D933F4">
      <w:pPr>
        <w:jc w:val="both"/>
        <w:rPr>
          <w:rFonts w:asciiTheme="majorBidi" w:hAnsiTheme="majorBidi" w:cstheme="majorBidi"/>
          <w:sz w:val="20"/>
          <w:szCs w:val="20"/>
          <w:lang w:bidi="fa-IR"/>
        </w:rPr>
      </w:pPr>
    </w:p>
    <w:p w14:paraId="1F9C453E" w14:textId="77777777" w:rsidR="00C50E03" w:rsidRDefault="00C50E03" w:rsidP="00D933F4">
      <w:pPr>
        <w:jc w:val="both"/>
        <w:rPr>
          <w:rFonts w:asciiTheme="majorBidi" w:hAnsiTheme="majorBidi" w:cstheme="majorBidi"/>
          <w:sz w:val="20"/>
          <w:szCs w:val="20"/>
          <w:lang w:bidi="fa-IR"/>
        </w:rPr>
      </w:pPr>
    </w:p>
    <w:p w14:paraId="61F99DD1" w14:textId="77777777" w:rsidR="00C50E03" w:rsidRDefault="00C50E03" w:rsidP="00D933F4">
      <w:pPr>
        <w:jc w:val="both"/>
        <w:rPr>
          <w:rFonts w:asciiTheme="majorBidi" w:hAnsiTheme="majorBidi" w:cstheme="majorBidi"/>
          <w:sz w:val="20"/>
          <w:szCs w:val="20"/>
          <w:lang w:bidi="fa-IR"/>
        </w:rPr>
      </w:pPr>
    </w:p>
    <w:p w14:paraId="632F2158" w14:textId="77777777" w:rsidR="00C50E03" w:rsidRDefault="00C50E03" w:rsidP="00D933F4">
      <w:pPr>
        <w:jc w:val="both"/>
        <w:rPr>
          <w:rFonts w:asciiTheme="majorBidi" w:hAnsiTheme="majorBidi" w:cstheme="majorBidi"/>
          <w:sz w:val="20"/>
          <w:szCs w:val="20"/>
          <w:lang w:bidi="fa-IR"/>
        </w:rPr>
      </w:pPr>
    </w:p>
    <w:p w14:paraId="1FBEB20C" w14:textId="77777777" w:rsidR="00C50E03" w:rsidRDefault="00C50E03" w:rsidP="00D933F4">
      <w:pPr>
        <w:jc w:val="both"/>
        <w:rPr>
          <w:rFonts w:asciiTheme="majorBidi" w:hAnsiTheme="majorBidi" w:cstheme="majorBidi"/>
          <w:sz w:val="20"/>
          <w:szCs w:val="20"/>
          <w:lang w:bidi="fa-IR"/>
        </w:rPr>
      </w:pPr>
    </w:p>
    <w:p w14:paraId="1EDE3555" w14:textId="77777777" w:rsidR="00C50E03" w:rsidRDefault="00C50E03" w:rsidP="00D933F4">
      <w:pPr>
        <w:jc w:val="both"/>
        <w:rPr>
          <w:rFonts w:asciiTheme="majorBidi" w:hAnsiTheme="majorBidi" w:cstheme="majorBidi"/>
          <w:sz w:val="20"/>
          <w:szCs w:val="20"/>
          <w:lang w:bidi="fa-IR"/>
        </w:rPr>
      </w:pPr>
    </w:p>
    <w:p w14:paraId="11C6DCBF" w14:textId="77777777" w:rsidR="00C50E03" w:rsidRDefault="00C50E03" w:rsidP="00D933F4">
      <w:pPr>
        <w:jc w:val="both"/>
        <w:rPr>
          <w:rFonts w:asciiTheme="majorBidi" w:hAnsiTheme="majorBidi" w:cstheme="majorBidi"/>
          <w:sz w:val="20"/>
          <w:szCs w:val="20"/>
          <w:lang w:bidi="fa-IR"/>
        </w:rPr>
      </w:pPr>
    </w:p>
    <w:p w14:paraId="0672645F" w14:textId="77777777" w:rsidR="00C50E03" w:rsidRDefault="00C50E03" w:rsidP="00D933F4">
      <w:pPr>
        <w:jc w:val="both"/>
        <w:rPr>
          <w:rFonts w:asciiTheme="majorBidi" w:hAnsiTheme="majorBidi" w:cstheme="majorBidi"/>
          <w:sz w:val="20"/>
          <w:szCs w:val="20"/>
          <w:lang w:bidi="fa-IR"/>
        </w:rPr>
      </w:pPr>
    </w:p>
    <w:p w14:paraId="1547B97F" w14:textId="77777777" w:rsidR="00C50E03" w:rsidRDefault="00C50E03" w:rsidP="00D933F4">
      <w:pPr>
        <w:jc w:val="both"/>
        <w:rPr>
          <w:rFonts w:asciiTheme="majorBidi" w:hAnsiTheme="majorBidi" w:cstheme="majorBidi"/>
          <w:sz w:val="20"/>
          <w:szCs w:val="20"/>
          <w:lang w:bidi="fa-IR"/>
        </w:rPr>
      </w:pPr>
    </w:p>
    <w:p w14:paraId="5C2CFEE0" w14:textId="77777777" w:rsidR="00C50E03" w:rsidRDefault="00C50E03" w:rsidP="00D933F4">
      <w:pPr>
        <w:jc w:val="both"/>
        <w:rPr>
          <w:rFonts w:asciiTheme="majorBidi" w:hAnsiTheme="majorBidi" w:cstheme="majorBidi"/>
          <w:sz w:val="20"/>
          <w:szCs w:val="20"/>
          <w:lang w:bidi="fa-IR"/>
        </w:rPr>
      </w:pPr>
    </w:p>
    <w:p w14:paraId="5B8C1D2B" w14:textId="0DA95A64" w:rsidR="00645CBE" w:rsidRPr="00645CBE" w:rsidRDefault="00C50E03" w:rsidP="00645CBE">
      <w:pPr>
        <w:jc w:val="both"/>
        <w:rPr>
          <w:rFonts w:asciiTheme="majorBidi" w:hAnsiTheme="majorBidi" w:cstheme="majorBidi"/>
          <w:b/>
          <w:bCs/>
          <w:sz w:val="22"/>
          <w:szCs w:val="22"/>
          <w:lang w:bidi="fa-IR"/>
        </w:rPr>
      </w:pPr>
      <w:r w:rsidRPr="00C50E03">
        <w:rPr>
          <w:rFonts w:asciiTheme="majorBidi" w:hAnsiTheme="majorBidi" w:cstheme="majorBidi"/>
          <w:b/>
          <w:bCs/>
          <w:sz w:val="22"/>
          <w:szCs w:val="22"/>
          <w:lang w:bidi="fa-IR"/>
        </w:rPr>
        <w:lastRenderedPageBreak/>
        <w:t>References</w:t>
      </w:r>
    </w:p>
    <w:p w14:paraId="1FC7385C" w14:textId="166E6804" w:rsidR="00645CBE" w:rsidRPr="00645CBE" w:rsidRDefault="00645CBE" w:rsidP="00645CBE">
      <w:pPr>
        <w:pStyle w:val="EndNoteBibliography"/>
        <w:spacing w:after="0"/>
        <w:rPr>
          <w:rFonts w:asciiTheme="majorBidi" w:hAnsiTheme="majorBidi" w:cstheme="majorBidi"/>
          <w:sz w:val="20"/>
          <w:szCs w:val="20"/>
        </w:rPr>
      </w:pPr>
      <w:r>
        <w:rPr>
          <w:rFonts w:asciiTheme="majorBidi" w:hAnsiTheme="majorBidi" w:cstheme="majorBidi"/>
          <w:sz w:val="20"/>
          <w:szCs w:val="20"/>
        </w:rPr>
        <w:t>[</w:t>
      </w:r>
      <w:r w:rsidRPr="00645CBE">
        <w:rPr>
          <w:rFonts w:asciiTheme="majorBidi" w:hAnsiTheme="majorBidi" w:cstheme="majorBidi"/>
          <w:sz w:val="20"/>
          <w:szCs w:val="20"/>
        </w:rPr>
        <w:fldChar w:fldCharType="begin"/>
      </w:r>
      <w:r w:rsidRPr="00645CBE">
        <w:rPr>
          <w:rFonts w:asciiTheme="majorBidi" w:hAnsiTheme="majorBidi" w:cstheme="majorBidi"/>
          <w:sz w:val="20"/>
          <w:szCs w:val="20"/>
        </w:rPr>
        <w:instrText xml:space="preserve"> ADDIN EN.REFLIST </w:instrText>
      </w:r>
      <w:r w:rsidRPr="00645CBE">
        <w:rPr>
          <w:rFonts w:asciiTheme="majorBidi" w:hAnsiTheme="majorBidi" w:cstheme="majorBidi"/>
          <w:sz w:val="20"/>
          <w:szCs w:val="20"/>
        </w:rPr>
        <w:fldChar w:fldCharType="separate"/>
      </w:r>
      <w:r w:rsidRPr="00645CBE">
        <w:rPr>
          <w:rFonts w:asciiTheme="majorBidi" w:hAnsiTheme="majorBidi" w:cstheme="majorBidi"/>
          <w:sz w:val="20"/>
          <w:szCs w:val="20"/>
        </w:rPr>
        <w:t>1</w:t>
      </w:r>
      <w:r>
        <w:rPr>
          <w:rFonts w:asciiTheme="majorBidi" w:hAnsiTheme="majorBidi" w:cstheme="majorBidi"/>
          <w:sz w:val="20"/>
          <w:szCs w:val="20"/>
        </w:rPr>
        <w:t>]</w:t>
      </w:r>
      <w:r w:rsidRPr="00645CBE">
        <w:rPr>
          <w:rFonts w:asciiTheme="majorBidi" w:hAnsiTheme="majorBidi" w:cstheme="majorBidi"/>
          <w:sz w:val="20"/>
          <w:szCs w:val="20"/>
        </w:rPr>
        <w:t>Ahmed Abdalhalim AZ, Nureldaim Ahmed SN, Dawoud Ezzelarab AM, Mustafa M, Ali Albasheer MG, Abdelgadir Ahmed RE, et al. Clinical Impact of Artificial Intelligence-Based Triage Systems in Emergency Departments: A Systematic Review. Cureus. 2025;17(6):e85667.</w:t>
      </w:r>
    </w:p>
    <w:p w14:paraId="35B96208" w14:textId="24992A96" w:rsidR="00645CBE" w:rsidRPr="00645CBE" w:rsidRDefault="00645CBE" w:rsidP="00645CBE">
      <w:pPr>
        <w:pStyle w:val="EndNoteBibliography"/>
        <w:spacing w:after="0"/>
        <w:rPr>
          <w:rFonts w:asciiTheme="majorBidi" w:hAnsiTheme="majorBidi" w:cstheme="majorBidi"/>
          <w:sz w:val="20"/>
          <w:szCs w:val="20"/>
        </w:rPr>
      </w:pPr>
      <w:r>
        <w:rPr>
          <w:rFonts w:asciiTheme="majorBidi" w:hAnsiTheme="majorBidi" w:cstheme="majorBidi"/>
          <w:sz w:val="20"/>
          <w:szCs w:val="20"/>
        </w:rPr>
        <w:t>[</w:t>
      </w:r>
      <w:r w:rsidRPr="00645CBE">
        <w:rPr>
          <w:rFonts w:asciiTheme="majorBidi" w:hAnsiTheme="majorBidi" w:cstheme="majorBidi"/>
          <w:sz w:val="20"/>
          <w:szCs w:val="20"/>
        </w:rPr>
        <w:t>2</w:t>
      </w:r>
      <w:r>
        <w:rPr>
          <w:rFonts w:asciiTheme="majorBidi" w:hAnsiTheme="majorBidi" w:cstheme="majorBidi"/>
          <w:sz w:val="20"/>
          <w:szCs w:val="20"/>
        </w:rPr>
        <w:t>]</w:t>
      </w:r>
      <w:r w:rsidRPr="00645CBE">
        <w:rPr>
          <w:rFonts w:asciiTheme="majorBidi" w:hAnsiTheme="majorBidi" w:cstheme="majorBidi"/>
          <w:sz w:val="20"/>
          <w:szCs w:val="20"/>
        </w:rPr>
        <w:t>Almulihi QA, Alquraini AA, Almulihi FAA, Alzahid AA, Al Qahtani S, Almulhim M, et al. Applications of Artificial Intelligence and Machine Learning in Emergency Medicine Triage - A Systematic Review. Med Arch. 2024;78(3):198-206.</w:t>
      </w:r>
    </w:p>
    <w:p w14:paraId="775CA5B6" w14:textId="790D48A4" w:rsidR="00645CBE" w:rsidRPr="00645CBE" w:rsidRDefault="00645CBE" w:rsidP="00645CBE">
      <w:pPr>
        <w:pStyle w:val="EndNoteBibliography"/>
        <w:spacing w:after="0"/>
        <w:rPr>
          <w:rFonts w:asciiTheme="majorBidi" w:hAnsiTheme="majorBidi" w:cstheme="majorBidi"/>
          <w:sz w:val="20"/>
          <w:szCs w:val="20"/>
        </w:rPr>
      </w:pPr>
      <w:r>
        <w:rPr>
          <w:rFonts w:asciiTheme="majorBidi" w:hAnsiTheme="majorBidi" w:cstheme="majorBidi"/>
          <w:sz w:val="20"/>
          <w:szCs w:val="20"/>
        </w:rPr>
        <w:t>[</w:t>
      </w:r>
      <w:r w:rsidRPr="00645CBE">
        <w:rPr>
          <w:rFonts w:asciiTheme="majorBidi" w:hAnsiTheme="majorBidi" w:cstheme="majorBidi"/>
          <w:sz w:val="20"/>
          <w:szCs w:val="20"/>
        </w:rPr>
        <w:t>3</w:t>
      </w:r>
      <w:r>
        <w:rPr>
          <w:rFonts w:asciiTheme="majorBidi" w:hAnsiTheme="majorBidi" w:cstheme="majorBidi"/>
          <w:sz w:val="20"/>
          <w:szCs w:val="20"/>
        </w:rPr>
        <w:t>]</w:t>
      </w:r>
      <w:r w:rsidRPr="00645CBE">
        <w:rPr>
          <w:rFonts w:asciiTheme="majorBidi" w:hAnsiTheme="majorBidi" w:cstheme="majorBidi"/>
          <w:sz w:val="20"/>
          <w:szCs w:val="20"/>
        </w:rPr>
        <w:t>Chen J, Wu X, Li M, Liu L, Zhong L, Xiao J, et al. EE-Explorer: A Multimodal Artificial Intelligence System for Eye Emergency Triage and Primary Diagnosis. Am J Ophthalmol. 2023;252:253-64.</w:t>
      </w:r>
    </w:p>
    <w:p w14:paraId="02A53A98" w14:textId="23DD9392" w:rsidR="00645CBE" w:rsidRPr="00645CBE" w:rsidRDefault="00645CBE" w:rsidP="00645CBE">
      <w:pPr>
        <w:pStyle w:val="EndNoteBibliography"/>
        <w:spacing w:after="0"/>
        <w:rPr>
          <w:rFonts w:asciiTheme="majorBidi" w:hAnsiTheme="majorBidi" w:cstheme="majorBidi"/>
          <w:sz w:val="20"/>
          <w:szCs w:val="20"/>
        </w:rPr>
      </w:pPr>
      <w:r>
        <w:rPr>
          <w:rFonts w:asciiTheme="majorBidi" w:hAnsiTheme="majorBidi" w:cstheme="majorBidi"/>
          <w:sz w:val="20"/>
          <w:szCs w:val="20"/>
        </w:rPr>
        <w:t>[</w:t>
      </w:r>
      <w:r w:rsidRPr="00645CBE">
        <w:rPr>
          <w:rFonts w:asciiTheme="majorBidi" w:hAnsiTheme="majorBidi" w:cstheme="majorBidi"/>
          <w:sz w:val="20"/>
          <w:szCs w:val="20"/>
        </w:rPr>
        <w:t>4</w:t>
      </w:r>
      <w:r>
        <w:rPr>
          <w:rFonts w:asciiTheme="majorBidi" w:hAnsiTheme="majorBidi" w:cstheme="majorBidi"/>
          <w:sz w:val="20"/>
          <w:szCs w:val="20"/>
        </w:rPr>
        <w:t>]</w:t>
      </w:r>
      <w:r w:rsidRPr="00645CBE">
        <w:rPr>
          <w:rFonts w:asciiTheme="majorBidi" w:hAnsiTheme="majorBidi" w:cstheme="majorBidi"/>
          <w:sz w:val="20"/>
          <w:szCs w:val="20"/>
        </w:rPr>
        <w:t>Craca M, Coccolini F, Bignami E. Artificial intelligence may enhance emergency triage and management. J Trauma Acute Care Surg. 2023;94(6):e46-e7.</w:t>
      </w:r>
    </w:p>
    <w:p w14:paraId="3410263A" w14:textId="7B706808" w:rsidR="00645CBE" w:rsidRPr="00645CBE" w:rsidRDefault="00645CBE" w:rsidP="00645CBE">
      <w:pPr>
        <w:pStyle w:val="EndNoteBibliography"/>
        <w:spacing w:after="0"/>
        <w:rPr>
          <w:rFonts w:asciiTheme="majorBidi" w:hAnsiTheme="majorBidi" w:cstheme="majorBidi"/>
          <w:sz w:val="20"/>
          <w:szCs w:val="20"/>
        </w:rPr>
      </w:pPr>
      <w:r>
        <w:rPr>
          <w:rFonts w:asciiTheme="majorBidi" w:hAnsiTheme="majorBidi" w:cstheme="majorBidi"/>
          <w:sz w:val="20"/>
          <w:szCs w:val="20"/>
        </w:rPr>
        <w:t>[</w:t>
      </w:r>
      <w:r w:rsidRPr="00645CBE">
        <w:rPr>
          <w:rFonts w:asciiTheme="majorBidi" w:hAnsiTheme="majorBidi" w:cstheme="majorBidi"/>
          <w:sz w:val="20"/>
          <w:szCs w:val="20"/>
        </w:rPr>
        <w:t>5</w:t>
      </w:r>
      <w:r>
        <w:rPr>
          <w:rFonts w:asciiTheme="majorBidi" w:hAnsiTheme="majorBidi" w:cstheme="majorBidi"/>
          <w:sz w:val="20"/>
          <w:szCs w:val="20"/>
        </w:rPr>
        <w:t>]</w:t>
      </w:r>
      <w:r w:rsidRPr="00645CBE">
        <w:rPr>
          <w:rFonts w:asciiTheme="majorBidi" w:hAnsiTheme="majorBidi" w:cstheme="majorBidi"/>
          <w:sz w:val="20"/>
          <w:szCs w:val="20"/>
        </w:rPr>
        <w:t>Feng C, Wang L, Chen X, Zhai Y, Zhu F, Chen H, et al. A novel artificial intelligence-assisted triage tool to aid in the diagnosis of suspected COVID-19 pneumonia cases in fever clinics. Ann Transl Med. 2021;9(3):201.</w:t>
      </w:r>
    </w:p>
    <w:p w14:paraId="4B8570F4" w14:textId="07AE5D16" w:rsidR="00645CBE" w:rsidRPr="00645CBE" w:rsidRDefault="00645CBE" w:rsidP="00645CBE">
      <w:pPr>
        <w:pStyle w:val="EndNoteBibliography"/>
        <w:spacing w:after="0"/>
        <w:rPr>
          <w:rFonts w:asciiTheme="majorBidi" w:hAnsiTheme="majorBidi" w:cstheme="majorBidi"/>
          <w:sz w:val="20"/>
          <w:szCs w:val="20"/>
        </w:rPr>
      </w:pPr>
      <w:r>
        <w:rPr>
          <w:rFonts w:asciiTheme="majorBidi" w:hAnsiTheme="majorBidi" w:cstheme="majorBidi"/>
          <w:sz w:val="20"/>
          <w:szCs w:val="20"/>
        </w:rPr>
        <w:t>[</w:t>
      </w:r>
      <w:r w:rsidRPr="00645CBE">
        <w:rPr>
          <w:rFonts w:asciiTheme="majorBidi" w:hAnsiTheme="majorBidi" w:cstheme="majorBidi"/>
          <w:sz w:val="20"/>
          <w:szCs w:val="20"/>
        </w:rPr>
        <w:t>6</w:t>
      </w:r>
      <w:r>
        <w:rPr>
          <w:rFonts w:asciiTheme="majorBidi" w:hAnsiTheme="majorBidi" w:cstheme="majorBidi"/>
          <w:sz w:val="20"/>
          <w:szCs w:val="20"/>
        </w:rPr>
        <w:t>]</w:t>
      </w:r>
      <w:r w:rsidRPr="00645CBE">
        <w:rPr>
          <w:rFonts w:asciiTheme="majorBidi" w:hAnsiTheme="majorBidi" w:cstheme="majorBidi"/>
          <w:sz w:val="20"/>
          <w:szCs w:val="20"/>
        </w:rPr>
        <w:t>Fu L, Wang C, Liu Z, Pan C, Du Z, Sun Z, et al. High-quality triage and diagnosis of gynecological diseases via artificial intelligence. Artificial Intelligence in Medicine. 2025;170:103267.</w:t>
      </w:r>
    </w:p>
    <w:p w14:paraId="209F8384" w14:textId="7D518415" w:rsidR="00645CBE" w:rsidRPr="00645CBE" w:rsidRDefault="00645CBE" w:rsidP="00645CBE">
      <w:pPr>
        <w:pStyle w:val="EndNoteBibliography"/>
        <w:spacing w:after="0"/>
        <w:rPr>
          <w:rFonts w:asciiTheme="majorBidi" w:hAnsiTheme="majorBidi" w:cstheme="majorBidi"/>
          <w:sz w:val="20"/>
          <w:szCs w:val="20"/>
        </w:rPr>
      </w:pPr>
      <w:r>
        <w:rPr>
          <w:rFonts w:asciiTheme="majorBidi" w:hAnsiTheme="majorBidi" w:cstheme="majorBidi"/>
          <w:sz w:val="20"/>
          <w:szCs w:val="20"/>
        </w:rPr>
        <w:t>[</w:t>
      </w:r>
      <w:r w:rsidRPr="00645CBE">
        <w:rPr>
          <w:rFonts w:asciiTheme="majorBidi" w:hAnsiTheme="majorBidi" w:cstheme="majorBidi"/>
          <w:sz w:val="20"/>
          <w:szCs w:val="20"/>
        </w:rPr>
        <w:t>7</w:t>
      </w:r>
      <w:r>
        <w:rPr>
          <w:rFonts w:asciiTheme="majorBidi" w:hAnsiTheme="majorBidi" w:cstheme="majorBidi"/>
          <w:sz w:val="20"/>
          <w:szCs w:val="20"/>
        </w:rPr>
        <w:t>]</w:t>
      </w:r>
      <w:r w:rsidRPr="00645CBE">
        <w:rPr>
          <w:rFonts w:asciiTheme="majorBidi" w:hAnsiTheme="majorBidi" w:cstheme="majorBidi"/>
          <w:sz w:val="20"/>
          <w:szCs w:val="20"/>
        </w:rPr>
        <w:t>Kapoor A, Kapoor A, Mahajan G. Use of Artificial Intelligence to Triage Patients with Flu-Like Symptoms Using Imaging in Non-COVID-19 Hospitals during COVID-19 Pandemic: An Ongoing 8-Month Experience. Indian J Radiol Imaging. 2021;31(4):901-9.</w:t>
      </w:r>
    </w:p>
    <w:p w14:paraId="31E1EF85" w14:textId="633EC576" w:rsidR="00645CBE" w:rsidRPr="00645CBE" w:rsidRDefault="00645CBE" w:rsidP="00645CBE">
      <w:pPr>
        <w:pStyle w:val="EndNoteBibliography"/>
        <w:spacing w:after="0"/>
        <w:rPr>
          <w:rFonts w:asciiTheme="majorBidi" w:hAnsiTheme="majorBidi" w:cstheme="majorBidi"/>
          <w:sz w:val="20"/>
          <w:szCs w:val="20"/>
        </w:rPr>
      </w:pPr>
      <w:r>
        <w:rPr>
          <w:rFonts w:asciiTheme="majorBidi" w:hAnsiTheme="majorBidi" w:cstheme="majorBidi"/>
          <w:sz w:val="20"/>
          <w:szCs w:val="20"/>
        </w:rPr>
        <w:t>[</w:t>
      </w:r>
      <w:r w:rsidRPr="00645CBE">
        <w:rPr>
          <w:rFonts w:asciiTheme="majorBidi" w:hAnsiTheme="majorBidi" w:cstheme="majorBidi"/>
          <w:sz w:val="20"/>
          <w:szCs w:val="20"/>
        </w:rPr>
        <w:t>8</w:t>
      </w:r>
      <w:r>
        <w:rPr>
          <w:rFonts w:asciiTheme="majorBidi" w:hAnsiTheme="majorBidi" w:cstheme="majorBidi"/>
          <w:sz w:val="20"/>
          <w:szCs w:val="20"/>
        </w:rPr>
        <w:t>]</w:t>
      </w:r>
      <w:r w:rsidRPr="00645CBE">
        <w:rPr>
          <w:rFonts w:asciiTheme="majorBidi" w:hAnsiTheme="majorBidi" w:cstheme="majorBidi"/>
          <w:sz w:val="20"/>
          <w:szCs w:val="20"/>
        </w:rPr>
        <w:t>Kim CK, Choi JW, Jiao Z, Wang D, Wu J, Yi TY, et al. An automated COVID-19 triage pipeline using artificial intelligence based on chest radiographs and clinical data. NPJ Digit Med. 2022;5(1):5.</w:t>
      </w:r>
    </w:p>
    <w:p w14:paraId="12AAF791" w14:textId="4DA88B5C" w:rsidR="00645CBE" w:rsidRPr="00645CBE" w:rsidRDefault="00645CBE" w:rsidP="00645CBE">
      <w:pPr>
        <w:pStyle w:val="EndNoteBibliography"/>
        <w:spacing w:after="0"/>
        <w:rPr>
          <w:rFonts w:asciiTheme="majorBidi" w:hAnsiTheme="majorBidi" w:cstheme="majorBidi"/>
          <w:sz w:val="20"/>
          <w:szCs w:val="20"/>
        </w:rPr>
      </w:pPr>
      <w:r>
        <w:rPr>
          <w:rFonts w:asciiTheme="majorBidi" w:hAnsiTheme="majorBidi" w:cstheme="majorBidi"/>
          <w:sz w:val="20"/>
          <w:szCs w:val="20"/>
        </w:rPr>
        <w:t>[</w:t>
      </w:r>
      <w:r w:rsidRPr="00645CBE">
        <w:rPr>
          <w:rFonts w:asciiTheme="majorBidi" w:hAnsiTheme="majorBidi" w:cstheme="majorBidi"/>
          <w:sz w:val="20"/>
          <w:szCs w:val="20"/>
        </w:rPr>
        <w:t>9</w:t>
      </w:r>
      <w:r>
        <w:rPr>
          <w:rFonts w:asciiTheme="majorBidi" w:hAnsiTheme="majorBidi" w:cstheme="majorBidi"/>
          <w:sz w:val="20"/>
          <w:szCs w:val="20"/>
        </w:rPr>
        <w:t>]</w:t>
      </w:r>
      <w:r w:rsidRPr="00645CBE">
        <w:rPr>
          <w:rFonts w:asciiTheme="majorBidi" w:hAnsiTheme="majorBidi" w:cstheme="majorBidi"/>
          <w:sz w:val="20"/>
          <w:szCs w:val="20"/>
        </w:rPr>
        <w:t>Levine DM, Tuwani R, Kompa B, Varma A, Finlayson SG, Mehrotra A, et al. The diagnostic and triage accuracy of the GPT-3 artificial intelligence model: an observational study. The Lancet Digital Health. 2024;6(8):e555-e61.</w:t>
      </w:r>
    </w:p>
    <w:p w14:paraId="7AB7DBDA" w14:textId="08F0CF2C" w:rsidR="00645CBE" w:rsidRPr="00645CBE" w:rsidRDefault="00645CBE" w:rsidP="00645CBE">
      <w:pPr>
        <w:pStyle w:val="EndNoteBibliography"/>
        <w:spacing w:after="0"/>
        <w:rPr>
          <w:rFonts w:asciiTheme="majorBidi" w:hAnsiTheme="majorBidi" w:cstheme="majorBidi"/>
          <w:sz w:val="20"/>
          <w:szCs w:val="20"/>
        </w:rPr>
      </w:pPr>
      <w:r>
        <w:rPr>
          <w:rFonts w:asciiTheme="majorBidi" w:hAnsiTheme="majorBidi" w:cstheme="majorBidi"/>
          <w:sz w:val="20"/>
          <w:szCs w:val="20"/>
        </w:rPr>
        <w:t>[</w:t>
      </w:r>
      <w:r w:rsidRPr="00645CBE">
        <w:rPr>
          <w:rFonts w:asciiTheme="majorBidi" w:hAnsiTheme="majorBidi" w:cstheme="majorBidi"/>
          <w:sz w:val="20"/>
          <w:szCs w:val="20"/>
        </w:rPr>
        <w:t>10</w:t>
      </w:r>
      <w:r>
        <w:rPr>
          <w:rFonts w:asciiTheme="majorBidi" w:hAnsiTheme="majorBidi" w:cstheme="majorBidi"/>
          <w:sz w:val="20"/>
          <w:szCs w:val="20"/>
        </w:rPr>
        <w:t>]</w:t>
      </w:r>
      <w:r w:rsidRPr="00645CBE">
        <w:rPr>
          <w:rFonts w:asciiTheme="majorBidi" w:hAnsiTheme="majorBidi" w:cstheme="majorBidi"/>
          <w:sz w:val="20"/>
          <w:szCs w:val="20"/>
        </w:rPr>
        <w:t>Liu X, Lai R, Wu C, Yan C, Gan Z, Yang Y, et al. Assessing the utility of artificial intelligence throughout the triage outpatients: a prospective randomized controlled clinical study. Front Public Health. 2024;12:1391906.</w:t>
      </w:r>
    </w:p>
    <w:p w14:paraId="57057DA7" w14:textId="4FDB6D9A" w:rsidR="00645CBE" w:rsidRPr="00645CBE" w:rsidRDefault="00645CBE" w:rsidP="00645CBE">
      <w:pPr>
        <w:pStyle w:val="EndNoteBibliography"/>
        <w:spacing w:after="0"/>
        <w:rPr>
          <w:rFonts w:asciiTheme="majorBidi" w:hAnsiTheme="majorBidi" w:cstheme="majorBidi"/>
          <w:sz w:val="20"/>
          <w:szCs w:val="20"/>
        </w:rPr>
      </w:pPr>
      <w:r>
        <w:rPr>
          <w:rFonts w:asciiTheme="majorBidi" w:hAnsiTheme="majorBidi" w:cstheme="majorBidi"/>
          <w:sz w:val="20"/>
          <w:szCs w:val="20"/>
        </w:rPr>
        <w:t>[</w:t>
      </w:r>
      <w:r w:rsidRPr="00645CBE">
        <w:rPr>
          <w:rFonts w:asciiTheme="majorBidi" w:hAnsiTheme="majorBidi" w:cstheme="majorBidi"/>
          <w:sz w:val="20"/>
          <w:szCs w:val="20"/>
        </w:rPr>
        <w:t>11</w:t>
      </w:r>
      <w:r>
        <w:rPr>
          <w:rFonts w:asciiTheme="majorBidi" w:hAnsiTheme="majorBidi" w:cstheme="majorBidi"/>
          <w:sz w:val="20"/>
          <w:szCs w:val="20"/>
        </w:rPr>
        <w:t>]</w:t>
      </w:r>
      <w:r w:rsidRPr="00645CBE">
        <w:rPr>
          <w:rFonts w:asciiTheme="majorBidi" w:hAnsiTheme="majorBidi" w:cstheme="majorBidi"/>
          <w:sz w:val="20"/>
          <w:szCs w:val="20"/>
        </w:rPr>
        <w:t>Oliveira Y, Rios I, Araújo P, Macambira A, Guimarães M, Sales L, et al. Artificial intelligence in triage of COVID-19 patients. Front Artif Intell. 2024;7:1495074.</w:t>
      </w:r>
    </w:p>
    <w:p w14:paraId="3AAC728C" w14:textId="4786CDD0" w:rsidR="00645CBE" w:rsidRPr="00645CBE" w:rsidRDefault="00645CBE" w:rsidP="00645CBE">
      <w:pPr>
        <w:pStyle w:val="EndNoteBibliography"/>
        <w:spacing w:after="0"/>
        <w:rPr>
          <w:rFonts w:asciiTheme="majorBidi" w:hAnsiTheme="majorBidi" w:cstheme="majorBidi"/>
          <w:sz w:val="20"/>
          <w:szCs w:val="20"/>
        </w:rPr>
      </w:pPr>
      <w:r>
        <w:rPr>
          <w:rFonts w:asciiTheme="majorBidi" w:hAnsiTheme="majorBidi" w:cstheme="majorBidi"/>
          <w:sz w:val="20"/>
          <w:szCs w:val="20"/>
        </w:rPr>
        <w:t>[</w:t>
      </w:r>
      <w:r w:rsidRPr="00645CBE">
        <w:rPr>
          <w:rFonts w:asciiTheme="majorBidi" w:hAnsiTheme="majorBidi" w:cstheme="majorBidi"/>
          <w:sz w:val="20"/>
          <w:szCs w:val="20"/>
        </w:rPr>
        <w:t>12</w:t>
      </w:r>
      <w:r>
        <w:rPr>
          <w:rFonts w:asciiTheme="majorBidi" w:hAnsiTheme="majorBidi" w:cstheme="majorBidi"/>
          <w:sz w:val="20"/>
          <w:szCs w:val="20"/>
        </w:rPr>
        <w:t>]</w:t>
      </w:r>
      <w:r w:rsidRPr="00645CBE">
        <w:rPr>
          <w:rFonts w:asciiTheme="majorBidi" w:hAnsiTheme="majorBidi" w:cstheme="majorBidi"/>
          <w:sz w:val="20"/>
          <w:szCs w:val="20"/>
        </w:rPr>
        <w:t>Stallings JD, Laxminarayan S, Yu C, Kapela A, Frock A, Cap AP, et al. APPRAISE-HRI: AN ARTIFICIAL INTELLIGENCE ALGORITHM FOR TRIAGE OF HEMORRHAGE CASUALTIES. Shock. 2023;60(2):199-205.</w:t>
      </w:r>
    </w:p>
    <w:p w14:paraId="75916AFC" w14:textId="47EDDC2A" w:rsidR="00645CBE" w:rsidRPr="00645CBE" w:rsidRDefault="00645CBE" w:rsidP="00645CBE">
      <w:pPr>
        <w:pStyle w:val="EndNoteBibliography"/>
        <w:spacing w:after="0"/>
        <w:rPr>
          <w:rFonts w:asciiTheme="majorBidi" w:hAnsiTheme="majorBidi" w:cstheme="majorBidi"/>
          <w:sz w:val="20"/>
          <w:szCs w:val="20"/>
        </w:rPr>
      </w:pPr>
      <w:r>
        <w:rPr>
          <w:rFonts w:asciiTheme="majorBidi" w:hAnsiTheme="majorBidi" w:cstheme="majorBidi"/>
          <w:sz w:val="20"/>
          <w:szCs w:val="20"/>
        </w:rPr>
        <w:t>[</w:t>
      </w:r>
      <w:r w:rsidRPr="00645CBE">
        <w:rPr>
          <w:rFonts w:asciiTheme="majorBidi" w:hAnsiTheme="majorBidi" w:cstheme="majorBidi"/>
          <w:sz w:val="20"/>
          <w:szCs w:val="20"/>
        </w:rPr>
        <w:t>13</w:t>
      </w:r>
      <w:r>
        <w:rPr>
          <w:rFonts w:asciiTheme="majorBidi" w:hAnsiTheme="majorBidi" w:cstheme="majorBidi"/>
          <w:sz w:val="20"/>
          <w:szCs w:val="20"/>
        </w:rPr>
        <w:t>]</w:t>
      </w:r>
      <w:r w:rsidRPr="00645CBE">
        <w:rPr>
          <w:rFonts w:asciiTheme="majorBidi" w:hAnsiTheme="majorBidi" w:cstheme="majorBidi"/>
          <w:sz w:val="20"/>
          <w:szCs w:val="20"/>
        </w:rPr>
        <w:t>Tahernejad A, Sahebi A, Abadi ASS, Safari M. Application of artificial intelligence in triage in emergencies and disasters: a systematic review. BMC Public Health. 2024;24(1):3203.</w:t>
      </w:r>
    </w:p>
    <w:p w14:paraId="30F3D254" w14:textId="3E2244DA" w:rsidR="00645CBE" w:rsidRPr="00645CBE" w:rsidRDefault="00645CBE" w:rsidP="00645CBE">
      <w:pPr>
        <w:pStyle w:val="EndNoteBibliography"/>
        <w:spacing w:after="0"/>
        <w:rPr>
          <w:rFonts w:asciiTheme="majorBidi" w:hAnsiTheme="majorBidi" w:cstheme="majorBidi"/>
          <w:sz w:val="20"/>
          <w:szCs w:val="20"/>
        </w:rPr>
      </w:pPr>
      <w:r>
        <w:rPr>
          <w:rFonts w:asciiTheme="majorBidi" w:hAnsiTheme="majorBidi" w:cstheme="majorBidi"/>
          <w:sz w:val="20"/>
          <w:szCs w:val="20"/>
        </w:rPr>
        <w:t>[</w:t>
      </w:r>
      <w:r w:rsidRPr="00645CBE">
        <w:rPr>
          <w:rFonts w:asciiTheme="majorBidi" w:hAnsiTheme="majorBidi" w:cstheme="majorBidi"/>
          <w:sz w:val="20"/>
          <w:szCs w:val="20"/>
        </w:rPr>
        <w:t>14</w:t>
      </w:r>
      <w:r>
        <w:rPr>
          <w:rFonts w:asciiTheme="majorBidi" w:hAnsiTheme="majorBidi" w:cstheme="majorBidi"/>
          <w:sz w:val="20"/>
          <w:szCs w:val="20"/>
        </w:rPr>
        <w:t>]</w:t>
      </w:r>
      <w:r w:rsidRPr="00645CBE">
        <w:rPr>
          <w:rFonts w:asciiTheme="majorBidi" w:hAnsiTheme="majorBidi" w:cstheme="majorBidi"/>
          <w:sz w:val="20"/>
          <w:szCs w:val="20"/>
        </w:rPr>
        <w:t>Tanya SM, Nguyen AX, Buchanan S, Jackman CS. Development of a Cloud-Based Clinical Decision Support System for Ophthalmology Triage Using Decision Tree Artificial Intelligence. Ophthalmol Sci. 2023;3(1):100231.</w:t>
      </w:r>
    </w:p>
    <w:p w14:paraId="7F59F17E" w14:textId="6C09F772" w:rsidR="00645CBE" w:rsidRPr="00645CBE" w:rsidRDefault="00645CBE" w:rsidP="00645CBE">
      <w:pPr>
        <w:pStyle w:val="EndNoteBibliography"/>
        <w:spacing w:after="0"/>
        <w:rPr>
          <w:rFonts w:asciiTheme="majorBidi" w:hAnsiTheme="majorBidi" w:cstheme="majorBidi"/>
          <w:sz w:val="20"/>
          <w:szCs w:val="20"/>
        </w:rPr>
      </w:pPr>
      <w:r>
        <w:rPr>
          <w:rFonts w:asciiTheme="majorBidi" w:hAnsiTheme="majorBidi" w:cstheme="majorBidi"/>
          <w:sz w:val="20"/>
          <w:szCs w:val="20"/>
        </w:rPr>
        <w:t>[</w:t>
      </w:r>
      <w:r w:rsidRPr="00645CBE">
        <w:rPr>
          <w:rFonts w:asciiTheme="majorBidi" w:hAnsiTheme="majorBidi" w:cstheme="majorBidi"/>
          <w:sz w:val="20"/>
          <w:szCs w:val="20"/>
        </w:rPr>
        <w:t>15</w:t>
      </w:r>
      <w:r>
        <w:rPr>
          <w:rFonts w:asciiTheme="majorBidi" w:hAnsiTheme="majorBidi" w:cstheme="majorBidi"/>
          <w:sz w:val="20"/>
          <w:szCs w:val="20"/>
        </w:rPr>
        <w:t>]</w:t>
      </w:r>
      <w:r w:rsidRPr="00645CBE">
        <w:rPr>
          <w:rFonts w:asciiTheme="majorBidi" w:hAnsiTheme="majorBidi" w:cstheme="majorBidi"/>
          <w:sz w:val="20"/>
          <w:szCs w:val="20"/>
        </w:rPr>
        <w:t>Tsui JC, Wong MB, Kim BJ, Maguire AM, Scoles D, VanderBeek BL, et al. Appropriateness of ophthalmic symptoms triage by a popular online artificial intelligence chatbot. Eye (Lond). 2023;37(17):3692-3.</w:t>
      </w:r>
    </w:p>
    <w:p w14:paraId="634B2EEA" w14:textId="0103FF77" w:rsidR="00645CBE" w:rsidRPr="00645CBE" w:rsidRDefault="00645CBE" w:rsidP="00645CBE">
      <w:pPr>
        <w:pStyle w:val="EndNoteBibliography"/>
        <w:spacing w:after="0"/>
        <w:rPr>
          <w:rFonts w:asciiTheme="majorBidi" w:hAnsiTheme="majorBidi" w:cstheme="majorBidi"/>
          <w:sz w:val="20"/>
          <w:szCs w:val="20"/>
        </w:rPr>
      </w:pPr>
      <w:r>
        <w:rPr>
          <w:rFonts w:asciiTheme="majorBidi" w:hAnsiTheme="majorBidi" w:cstheme="majorBidi"/>
          <w:sz w:val="20"/>
          <w:szCs w:val="20"/>
        </w:rPr>
        <w:t>[</w:t>
      </w:r>
      <w:r w:rsidRPr="00645CBE">
        <w:rPr>
          <w:rFonts w:asciiTheme="majorBidi" w:hAnsiTheme="majorBidi" w:cstheme="majorBidi"/>
          <w:sz w:val="20"/>
          <w:szCs w:val="20"/>
        </w:rPr>
        <w:t>16</w:t>
      </w:r>
      <w:r>
        <w:rPr>
          <w:rFonts w:asciiTheme="majorBidi" w:hAnsiTheme="majorBidi" w:cstheme="majorBidi"/>
          <w:sz w:val="20"/>
          <w:szCs w:val="20"/>
        </w:rPr>
        <w:t>]</w:t>
      </w:r>
      <w:r w:rsidRPr="00645CBE">
        <w:rPr>
          <w:rFonts w:asciiTheme="majorBidi" w:hAnsiTheme="majorBidi" w:cstheme="majorBidi"/>
          <w:sz w:val="20"/>
          <w:szCs w:val="20"/>
        </w:rPr>
        <w:t>Tyler S, Olis M, Aust N, Patel L, Simon L, Triantafyllidis C, et al. Use of Artificial Intelligence in Triage in Hospital Emergency Departments: A Scoping Review. Cureus. 2024;16(5):e59906.</w:t>
      </w:r>
    </w:p>
    <w:p w14:paraId="3CFCA6F0" w14:textId="116C2A10" w:rsidR="00645CBE" w:rsidRPr="00645CBE" w:rsidRDefault="00645CBE" w:rsidP="00645CBE">
      <w:pPr>
        <w:pStyle w:val="EndNoteBibliography"/>
        <w:spacing w:after="0"/>
        <w:rPr>
          <w:rFonts w:asciiTheme="majorBidi" w:hAnsiTheme="majorBidi" w:cstheme="majorBidi"/>
          <w:sz w:val="20"/>
          <w:szCs w:val="20"/>
        </w:rPr>
      </w:pPr>
      <w:r>
        <w:rPr>
          <w:rFonts w:asciiTheme="majorBidi" w:hAnsiTheme="majorBidi" w:cstheme="majorBidi"/>
          <w:sz w:val="20"/>
          <w:szCs w:val="20"/>
        </w:rPr>
        <w:t>[</w:t>
      </w:r>
      <w:r w:rsidRPr="00645CBE">
        <w:rPr>
          <w:rFonts w:asciiTheme="majorBidi" w:hAnsiTheme="majorBidi" w:cstheme="majorBidi"/>
          <w:sz w:val="20"/>
          <w:szCs w:val="20"/>
        </w:rPr>
        <w:t>17</w:t>
      </w:r>
      <w:r>
        <w:rPr>
          <w:rFonts w:asciiTheme="majorBidi" w:hAnsiTheme="majorBidi" w:cstheme="majorBidi"/>
          <w:sz w:val="20"/>
          <w:szCs w:val="20"/>
        </w:rPr>
        <w:t>]</w:t>
      </w:r>
      <w:r w:rsidRPr="00645CBE">
        <w:rPr>
          <w:rFonts w:asciiTheme="majorBidi" w:hAnsiTheme="majorBidi" w:cstheme="majorBidi"/>
          <w:sz w:val="20"/>
          <w:szCs w:val="20"/>
        </w:rPr>
        <w:t>Wolcott ZC, English SW. Artificial intelligence to enhance prehospital stroke diagnosis and triage: a perspective. Front Neurol. 2024;15:1389056.</w:t>
      </w:r>
    </w:p>
    <w:p w14:paraId="786BA4AD" w14:textId="0A8357F5" w:rsidR="00645CBE" w:rsidRPr="00645CBE" w:rsidRDefault="00645CBE" w:rsidP="00645CBE">
      <w:pPr>
        <w:pStyle w:val="EndNoteBibliography"/>
        <w:spacing w:after="0"/>
        <w:rPr>
          <w:rFonts w:asciiTheme="majorBidi" w:hAnsiTheme="majorBidi" w:cstheme="majorBidi"/>
          <w:sz w:val="20"/>
          <w:szCs w:val="20"/>
        </w:rPr>
      </w:pPr>
      <w:r>
        <w:rPr>
          <w:rFonts w:asciiTheme="majorBidi" w:hAnsiTheme="majorBidi" w:cstheme="majorBidi"/>
          <w:sz w:val="20"/>
          <w:szCs w:val="20"/>
        </w:rPr>
        <w:t>[</w:t>
      </w:r>
      <w:r w:rsidRPr="00645CBE">
        <w:rPr>
          <w:rFonts w:asciiTheme="majorBidi" w:hAnsiTheme="majorBidi" w:cstheme="majorBidi"/>
          <w:sz w:val="20"/>
          <w:szCs w:val="20"/>
        </w:rPr>
        <w:t>18</w:t>
      </w:r>
      <w:r>
        <w:rPr>
          <w:rFonts w:asciiTheme="majorBidi" w:hAnsiTheme="majorBidi" w:cstheme="majorBidi"/>
          <w:sz w:val="20"/>
          <w:szCs w:val="20"/>
        </w:rPr>
        <w:t>]</w:t>
      </w:r>
      <w:r w:rsidRPr="00645CBE">
        <w:rPr>
          <w:rFonts w:asciiTheme="majorBidi" w:hAnsiTheme="majorBidi" w:cstheme="majorBidi"/>
          <w:sz w:val="20"/>
          <w:szCs w:val="20"/>
        </w:rPr>
        <w:t>Yi N, Baik D, Baek G. The effects of applying artificial intelligence to triage in the emergency department: A systematic review of prospective studies. J Nurs Scholarsh. 2025;57(1):105-18.</w:t>
      </w:r>
    </w:p>
    <w:p w14:paraId="264A3F5C" w14:textId="20D94365" w:rsidR="00645CBE" w:rsidRPr="00645CBE" w:rsidRDefault="00645CBE" w:rsidP="00645CBE">
      <w:pPr>
        <w:pStyle w:val="EndNoteBibliography"/>
        <w:rPr>
          <w:rFonts w:asciiTheme="majorBidi" w:hAnsiTheme="majorBidi" w:cstheme="majorBidi"/>
          <w:sz w:val="20"/>
          <w:szCs w:val="20"/>
        </w:rPr>
      </w:pPr>
      <w:r>
        <w:rPr>
          <w:rFonts w:asciiTheme="majorBidi" w:hAnsiTheme="majorBidi" w:cstheme="majorBidi"/>
          <w:sz w:val="20"/>
          <w:szCs w:val="20"/>
        </w:rPr>
        <w:t>[</w:t>
      </w:r>
      <w:r w:rsidRPr="00645CBE">
        <w:rPr>
          <w:rFonts w:asciiTheme="majorBidi" w:hAnsiTheme="majorBidi" w:cstheme="majorBidi"/>
          <w:sz w:val="20"/>
          <w:szCs w:val="20"/>
        </w:rPr>
        <w:t>19</w:t>
      </w:r>
      <w:r>
        <w:rPr>
          <w:rFonts w:asciiTheme="majorBidi" w:hAnsiTheme="majorBidi" w:cstheme="majorBidi"/>
          <w:sz w:val="20"/>
          <w:szCs w:val="20"/>
        </w:rPr>
        <w:t>]</w:t>
      </w:r>
      <w:r w:rsidRPr="00645CBE">
        <w:rPr>
          <w:rFonts w:asciiTheme="majorBidi" w:hAnsiTheme="majorBidi" w:cstheme="majorBidi"/>
          <w:sz w:val="20"/>
          <w:szCs w:val="20"/>
        </w:rPr>
        <w:t>Zarei R, Downs MC, Torgerson L. Artificial Intelligence in Prehospital Emergency Care: Advancing Triage and Destination Decisions for Time-Critical Conditions. Cureus. 2025;17(9):e91542.</w:t>
      </w:r>
    </w:p>
    <w:p w14:paraId="76520B5C" w14:textId="1FB96451" w:rsidR="007E4B77" w:rsidRPr="007E4B77" w:rsidRDefault="00645CBE" w:rsidP="00645CBE">
      <w:pPr>
        <w:jc w:val="both"/>
        <w:rPr>
          <w:rFonts w:asciiTheme="majorBidi" w:hAnsiTheme="majorBidi" w:cstheme="majorBidi"/>
          <w:sz w:val="22"/>
          <w:szCs w:val="22"/>
        </w:rPr>
      </w:pPr>
      <w:r w:rsidRPr="00645CBE">
        <w:rPr>
          <w:rFonts w:asciiTheme="majorBidi" w:hAnsiTheme="majorBidi" w:cstheme="majorBidi"/>
          <w:sz w:val="20"/>
          <w:szCs w:val="20"/>
        </w:rPr>
        <w:fldChar w:fldCharType="end"/>
      </w:r>
    </w:p>
    <w:sectPr w:rsidR="007E4B77" w:rsidRPr="007E4B77">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1FC98" w14:textId="77777777" w:rsidR="002C4AE3" w:rsidRDefault="002C4AE3" w:rsidP="00C50E03">
      <w:pPr>
        <w:spacing w:after="0" w:line="240" w:lineRule="auto"/>
      </w:pPr>
      <w:r>
        <w:separator/>
      </w:r>
    </w:p>
  </w:endnote>
  <w:endnote w:type="continuationSeparator" w:id="0">
    <w:p w14:paraId="304F8929" w14:textId="77777777" w:rsidR="002C4AE3" w:rsidRDefault="002C4AE3" w:rsidP="00C50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6704683"/>
      <w:docPartObj>
        <w:docPartGallery w:val="Page Numbers (Bottom of Page)"/>
        <w:docPartUnique/>
      </w:docPartObj>
    </w:sdtPr>
    <w:sdtEndPr>
      <w:rPr>
        <w:noProof/>
      </w:rPr>
    </w:sdtEndPr>
    <w:sdtContent>
      <w:p w14:paraId="3AB9E562" w14:textId="3D1BCE03" w:rsidR="00645CBE" w:rsidRDefault="00645CB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EFE88F" w14:textId="77777777" w:rsidR="00645CBE" w:rsidRDefault="00645C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6E29C" w14:textId="77777777" w:rsidR="002C4AE3" w:rsidRDefault="002C4AE3" w:rsidP="00C50E03">
      <w:pPr>
        <w:spacing w:after="0" w:line="240" w:lineRule="auto"/>
      </w:pPr>
      <w:r>
        <w:separator/>
      </w:r>
    </w:p>
  </w:footnote>
  <w:footnote w:type="continuationSeparator" w:id="0">
    <w:p w14:paraId="179975B6" w14:textId="77777777" w:rsidR="002C4AE3" w:rsidRDefault="002C4AE3" w:rsidP="00C50E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F1655" w14:textId="66C2E287" w:rsidR="00C50E03" w:rsidRDefault="00C50E03">
    <w:pPr>
      <w:pStyle w:val="Header"/>
    </w:pPr>
    <w:r>
      <w:rPr>
        <w:noProof/>
      </w:rPr>
      <w:drawing>
        <wp:anchor distT="0" distB="0" distL="114300" distR="114300" simplePos="0" relativeHeight="251658240" behindDoc="1" locked="0" layoutInCell="1" allowOverlap="1" wp14:anchorId="5D793FD0" wp14:editId="12D71631">
          <wp:simplePos x="0" y="0"/>
          <wp:positionH relativeFrom="page">
            <wp:align>right</wp:align>
          </wp:positionH>
          <wp:positionV relativeFrom="page">
            <wp:align>top</wp:align>
          </wp:positionV>
          <wp:extent cx="7775105" cy="913765"/>
          <wp:effectExtent l="0" t="0" r="0" b="635"/>
          <wp:wrapNone/>
          <wp:docPr id="19946723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057239" name="Picture 371057239"/>
                  <pic:cNvPicPr/>
                </pic:nvPicPr>
                <pic:blipFill>
                  <a:blip r:embed="rId1">
                    <a:extLst>
                      <a:ext uri="{28A0092B-C50C-407E-A947-70E740481C1C}">
                        <a14:useLocalDpi xmlns:a14="http://schemas.microsoft.com/office/drawing/2010/main" val="0"/>
                      </a:ext>
                    </a:extLst>
                  </a:blip>
                  <a:stretch>
                    <a:fillRect/>
                  </a:stretch>
                </pic:blipFill>
                <pic:spPr>
                  <a:xfrm>
                    <a:off x="0" y="0"/>
                    <a:ext cx="7775105" cy="913765"/>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0z99xvd09f5dbetzw5p9xavzvrdxx29v90w&quot;&gt;تریاژ&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record-ids&gt;&lt;/item&gt;&lt;/Libraries&gt;"/>
  </w:docVars>
  <w:rsids>
    <w:rsidRoot w:val="007E4B77"/>
    <w:rsid w:val="002C4AE3"/>
    <w:rsid w:val="002F242E"/>
    <w:rsid w:val="00643257"/>
    <w:rsid w:val="00645CBE"/>
    <w:rsid w:val="006D2261"/>
    <w:rsid w:val="007445AB"/>
    <w:rsid w:val="00761241"/>
    <w:rsid w:val="0079555A"/>
    <w:rsid w:val="007E4B77"/>
    <w:rsid w:val="00AA3D58"/>
    <w:rsid w:val="00AF58D5"/>
    <w:rsid w:val="00C50E03"/>
    <w:rsid w:val="00D933F4"/>
    <w:rsid w:val="00DB50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CDB61"/>
  <w15:chartTrackingRefBased/>
  <w15:docId w15:val="{44BB825D-EB75-4F35-ADCE-7658A15AE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4B7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E4B7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E4B7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E4B7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E4B7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E4B7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4B7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4B7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4B7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4B7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4B7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E4B7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E4B7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E4B7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E4B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4B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4B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4B77"/>
    <w:rPr>
      <w:rFonts w:eastAsiaTheme="majorEastAsia" w:cstheme="majorBidi"/>
      <w:color w:val="272727" w:themeColor="text1" w:themeTint="D8"/>
    </w:rPr>
  </w:style>
  <w:style w:type="paragraph" w:styleId="Title">
    <w:name w:val="Title"/>
    <w:basedOn w:val="Normal"/>
    <w:next w:val="Normal"/>
    <w:link w:val="TitleChar"/>
    <w:uiPriority w:val="10"/>
    <w:qFormat/>
    <w:rsid w:val="007E4B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4B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4B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4B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4B77"/>
    <w:pPr>
      <w:spacing w:before="160"/>
      <w:jc w:val="center"/>
    </w:pPr>
    <w:rPr>
      <w:i/>
      <w:iCs/>
      <w:color w:val="404040" w:themeColor="text1" w:themeTint="BF"/>
    </w:rPr>
  </w:style>
  <w:style w:type="character" w:customStyle="1" w:styleId="QuoteChar">
    <w:name w:val="Quote Char"/>
    <w:basedOn w:val="DefaultParagraphFont"/>
    <w:link w:val="Quote"/>
    <w:uiPriority w:val="29"/>
    <w:rsid w:val="007E4B77"/>
    <w:rPr>
      <w:i/>
      <w:iCs/>
      <w:color w:val="404040" w:themeColor="text1" w:themeTint="BF"/>
    </w:rPr>
  </w:style>
  <w:style w:type="paragraph" w:styleId="ListParagraph">
    <w:name w:val="List Paragraph"/>
    <w:basedOn w:val="Normal"/>
    <w:uiPriority w:val="34"/>
    <w:qFormat/>
    <w:rsid w:val="007E4B77"/>
    <w:pPr>
      <w:ind w:left="720"/>
      <w:contextualSpacing/>
    </w:pPr>
  </w:style>
  <w:style w:type="character" w:styleId="IntenseEmphasis">
    <w:name w:val="Intense Emphasis"/>
    <w:basedOn w:val="DefaultParagraphFont"/>
    <w:uiPriority w:val="21"/>
    <w:qFormat/>
    <w:rsid w:val="007E4B77"/>
    <w:rPr>
      <w:i/>
      <w:iCs/>
      <w:color w:val="2F5496" w:themeColor="accent1" w:themeShade="BF"/>
    </w:rPr>
  </w:style>
  <w:style w:type="paragraph" w:styleId="IntenseQuote">
    <w:name w:val="Intense Quote"/>
    <w:basedOn w:val="Normal"/>
    <w:next w:val="Normal"/>
    <w:link w:val="IntenseQuoteChar"/>
    <w:uiPriority w:val="30"/>
    <w:qFormat/>
    <w:rsid w:val="007E4B7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E4B77"/>
    <w:rPr>
      <w:i/>
      <w:iCs/>
      <w:color w:val="2F5496" w:themeColor="accent1" w:themeShade="BF"/>
    </w:rPr>
  </w:style>
  <w:style w:type="character" w:styleId="IntenseReference">
    <w:name w:val="Intense Reference"/>
    <w:basedOn w:val="DefaultParagraphFont"/>
    <w:uiPriority w:val="32"/>
    <w:qFormat/>
    <w:rsid w:val="007E4B77"/>
    <w:rPr>
      <w:b/>
      <w:bCs/>
      <w:smallCaps/>
      <w:color w:val="2F5496" w:themeColor="accent1" w:themeShade="BF"/>
      <w:spacing w:val="5"/>
    </w:rPr>
  </w:style>
  <w:style w:type="paragraph" w:styleId="Header">
    <w:name w:val="header"/>
    <w:basedOn w:val="Normal"/>
    <w:link w:val="HeaderChar"/>
    <w:uiPriority w:val="99"/>
    <w:unhideWhenUsed/>
    <w:rsid w:val="00C50E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0E03"/>
  </w:style>
  <w:style w:type="paragraph" w:styleId="Footer">
    <w:name w:val="footer"/>
    <w:basedOn w:val="Normal"/>
    <w:link w:val="FooterChar"/>
    <w:uiPriority w:val="99"/>
    <w:unhideWhenUsed/>
    <w:rsid w:val="00C50E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E03"/>
  </w:style>
  <w:style w:type="paragraph" w:customStyle="1" w:styleId="EndNoteBibliographyTitle">
    <w:name w:val="EndNote Bibliography Title"/>
    <w:basedOn w:val="Normal"/>
    <w:link w:val="EndNoteBibliographyTitleChar"/>
    <w:rsid w:val="00645CBE"/>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645CBE"/>
    <w:rPr>
      <w:rFonts w:ascii="Calibri" w:hAnsi="Calibri" w:cs="Calibri"/>
      <w:noProof/>
    </w:rPr>
  </w:style>
  <w:style w:type="paragraph" w:customStyle="1" w:styleId="EndNoteBibliography">
    <w:name w:val="EndNote Bibliography"/>
    <w:basedOn w:val="Normal"/>
    <w:link w:val="EndNoteBibliographyChar"/>
    <w:rsid w:val="00645CBE"/>
    <w:pPr>
      <w:spacing w:line="240" w:lineRule="auto"/>
      <w:jc w:val="both"/>
    </w:pPr>
    <w:rPr>
      <w:rFonts w:ascii="Calibri" w:hAnsi="Calibri" w:cs="Calibri"/>
      <w:noProof/>
    </w:rPr>
  </w:style>
  <w:style w:type="character" w:customStyle="1" w:styleId="EndNoteBibliographyChar">
    <w:name w:val="EndNote Bibliography Char"/>
    <w:basedOn w:val="DefaultParagraphFont"/>
    <w:link w:val="EndNoteBibliography"/>
    <w:rsid w:val="00645CBE"/>
    <w:rPr>
      <w:rFonts w:ascii="Calibri" w:hAnsi="Calibri" w:cs="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8</Pages>
  <Words>4495</Words>
  <Characters>25624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pouria jalali</dc:creator>
  <cp:keywords/>
  <dc:description/>
  <cp:lastModifiedBy>pouria jalali</cp:lastModifiedBy>
  <cp:revision>7</cp:revision>
  <dcterms:created xsi:type="dcterms:W3CDTF">2025-12-02T21:12:00Z</dcterms:created>
  <dcterms:modified xsi:type="dcterms:W3CDTF">2025-12-02T21:58:00Z</dcterms:modified>
</cp:coreProperties>
</file>