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07CC51E4" w:rsidR="00931BA1" w:rsidRDefault="001A645F" w:rsidP="00931BA1">
      <w:pPr>
        <w:pStyle w:val="Title"/>
        <w:rPr>
          <w:rFonts w:cs="Nazanin"/>
          <w:b w:val="0"/>
          <w:bCs w:val="0"/>
          <w:sz w:val="28"/>
        </w:rPr>
      </w:pPr>
      <w:bookmarkStart w:id="0" w:name="OLE_LINK15"/>
      <w:bookmarkStart w:id="1" w:name="OLE_LINK10"/>
      <w:bookmarkStart w:id="2" w:name="OLE_LINK11"/>
      <w:bookmarkStart w:id="3" w:name="OLE_LINK14"/>
      <w:r>
        <w:rPr>
          <w:rFonts w:cs="Nazanin"/>
          <w:b w:val="0"/>
          <w:bCs w:val="0"/>
          <w:sz w:val="28"/>
        </w:rPr>
        <w:drawing>
          <wp:inline distT="0" distB="0" distL="0" distR="0" wp14:anchorId="446E5ABD" wp14:editId="47DB3AFB">
            <wp:extent cx="6229350" cy="981075"/>
            <wp:effectExtent l="0" t="0" r="0" b="9525"/>
            <wp:docPr id="43905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05682" name="Picture 43905682"/>
                    <pic:cNvPicPr/>
                  </pic:nvPicPr>
                  <pic:blipFill>
                    <a:blip r:embed="rId8">
                      <a:extLst>
                        <a:ext uri="{28A0092B-C50C-407E-A947-70E740481C1C}">
                          <a14:useLocalDpi xmlns:a14="http://schemas.microsoft.com/office/drawing/2010/main" val="0"/>
                        </a:ext>
                      </a:extLst>
                    </a:blip>
                    <a:stretch>
                      <a:fillRect/>
                    </a:stretch>
                  </pic:blipFill>
                  <pic:spPr>
                    <a:xfrm>
                      <a:off x="0" y="0"/>
                      <a:ext cx="6235790" cy="982089"/>
                    </a:xfrm>
                    <a:prstGeom prst="rect">
                      <a:avLst/>
                    </a:prstGeom>
                  </pic:spPr>
                </pic:pic>
              </a:graphicData>
            </a:graphic>
          </wp:inline>
        </w:drawing>
      </w:r>
    </w:p>
    <w:bookmarkEnd w:id="0"/>
    <w:bookmarkEnd w:id="1"/>
    <w:bookmarkEnd w:id="2"/>
    <w:bookmarkEnd w:id="3"/>
    <w:p w14:paraId="34E70A94" w14:textId="4E99A695" w:rsidR="00B55AB2" w:rsidRPr="00D14553" w:rsidRDefault="00E54C3A" w:rsidP="00B55AB2">
      <w:pPr>
        <w:bidi/>
        <w:jc w:val="center"/>
        <w:rPr>
          <w:rFonts w:cs="Nazanin"/>
          <w:b/>
          <w:bCs/>
          <w:sz w:val="24"/>
          <w:szCs w:val="24"/>
          <w:rtl/>
          <w:lang w:bidi="fa-IR"/>
        </w:rPr>
      </w:pPr>
      <w:r w:rsidRPr="00E54C3A">
        <w:rPr>
          <w:rFonts w:cs="Nazanin"/>
          <w:sz w:val="28"/>
          <w:szCs w:val="36"/>
        </w:rPr>
        <w:t>A Scoping Review of Herbal Medicines Effective in the Management of Endometriosis</w:t>
      </w:r>
    </w:p>
    <w:p w14:paraId="1FF790E7" w14:textId="77777777" w:rsidR="00CB67CE" w:rsidRDefault="00CB67CE" w:rsidP="00CB67CE">
      <w:pPr>
        <w:bidi/>
        <w:jc w:val="center"/>
        <w:rPr>
          <w:rFonts w:cs="Nazanin"/>
          <w:b/>
          <w:bCs/>
        </w:rPr>
      </w:pPr>
    </w:p>
    <w:p w14:paraId="24970B54" w14:textId="77777777" w:rsidR="00893CDC" w:rsidRPr="00893CDC" w:rsidRDefault="00893CDC" w:rsidP="00893CDC">
      <w:pPr>
        <w:jc w:val="center"/>
        <w:rPr>
          <w:rFonts w:cs="Nazanin"/>
          <w:b/>
          <w:bCs/>
          <w:sz w:val="16"/>
          <w:szCs w:val="24"/>
        </w:rPr>
      </w:pPr>
      <w:r w:rsidRPr="00893CDC">
        <w:rPr>
          <w:rFonts w:cs="Nazanin"/>
          <w:b/>
          <w:bCs/>
          <w:szCs w:val="28"/>
        </w:rPr>
        <w:t>masumeh jafarzadeh</w:t>
      </w:r>
    </w:p>
    <w:p w14:paraId="530A8E72" w14:textId="3747D3DF" w:rsidR="00B55AB2" w:rsidRPr="00D26024" w:rsidRDefault="00893CDC" w:rsidP="00893CDC">
      <w:pPr>
        <w:pStyle w:val="Heading2"/>
        <w:ind w:left="567" w:right="567"/>
        <w:rPr>
          <w:rFonts w:cs="Nazanin"/>
        </w:rPr>
      </w:pPr>
      <w:r w:rsidRPr="00893CDC">
        <w:rPr>
          <w:rFonts w:cs="Nazanin"/>
          <w:sz w:val="20"/>
          <w:szCs w:val="20"/>
        </w:rPr>
        <w:t>Master of Midwifery</w:t>
      </w:r>
      <w:r w:rsidRPr="00893CDC">
        <w:rPr>
          <w:rFonts w:cs="Nazanin"/>
          <w:sz w:val="20"/>
          <w:szCs w:val="20"/>
          <w:rtl/>
        </w:rPr>
        <w:t>،</w:t>
      </w:r>
      <w:r w:rsidRPr="00893CDC">
        <w:rPr>
          <w:rFonts w:cs="Nazanin"/>
          <w:sz w:val="20"/>
          <w:szCs w:val="20"/>
        </w:rPr>
        <w:t>Clinical instructor,  Khorramabad School of Nursing and Midwifery</w:t>
      </w:r>
      <w:r w:rsidRPr="00893CDC">
        <w:rPr>
          <w:rFonts w:cs="Nazanin"/>
          <w:sz w:val="20"/>
          <w:szCs w:val="20"/>
          <w:rtl/>
        </w:rPr>
        <w:t>،</w:t>
      </w:r>
      <w:r w:rsidRPr="00893CDC">
        <w:rPr>
          <w:rFonts w:cs="Nazanin"/>
          <w:sz w:val="20"/>
          <w:szCs w:val="20"/>
        </w:rPr>
        <w:t>Lorestan University of Medical Sciences, Iran</w:t>
      </w:r>
      <w:r w:rsidR="0016451D" w:rsidRPr="00D26024">
        <w:rPr>
          <w:rFonts w:cs="Nazanin"/>
        </w:rPr>
        <w:t>Abstract</w:t>
      </w:r>
    </w:p>
    <w:p w14:paraId="55464791" w14:textId="77777777" w:rsidR="008011D8" w:rsidRPr="008011D8" w:rsidRDefault="008011D8" w:rsidP="008011D8">
      <w:pPr>
        <w:jc w:val="both"/>
        <w:rPr>
          <w:b/>
          <w:bCs/>
        </w:rPr>
      </w:pPr>
      <w:bookmarkStart w:id="4" w:name="OLE_LINK8"/>
      <w:bookmarkStart w:id="5" w:name="OLE_LINK9"/>
      <w:r w:rsidRPr="008011D8">
        <w:rPr>
          <w:b/>
          <w:bCs/>
        </w:rPr>
        <w:t>Introduction</w:t>
      </w:r>
    </w:p>
    <w:p w14:paraId="7BA376B3" w14:textId="77777777" w:rsidR="00E54C3A" w:rsidRDefault="00E54C3A" w:rsidP="008011D8">
      <w:pPr>
        <w:jc w:val="both"/>
        <w:rPr>
          <w:b/>
          <w:bCs/>
        </w:rPr>
      </w:pPr>
      <w:r w:rsidRPr="00E54C3A">
        <w:t>Endometriosis affects 6–10% of women of reproductive age and is characterised by chronic pelvic pain, severe dysmenorrhoea, and infertility. Conventional treatments, including hormonal therapy and surgery, are frequently associated with significant adverse effects and high recurrence rates. Herbal medicines have been investigated in preclinical and clinical studies for their anti-inflammatory, antioxidant, and hormone-modulating properties. The aim of this review was to map the existing evidence on herbal medicines effective in the treatment of endometriosis from both preclinical and clinical perspectives.</w:t>
      </w:r>
    </w:p>
    <w:p w14:paraId="6B9C95F4" w14:textId="490D9B80" w:rsidR="008011D8" w:rsidRPr="008011D8" w:rsidRDefault="008011D8" w:rsidP="008011D8">
      <w:pPr>
        <w:jc w:val="both"/>
        <w:rPr>
          <w:b/>
          <w:bCs/>
        </w:rPr>
      </w:pPr>
      <w:r w:rsidRPr="008011D8">
        <w:rPr>
          <w:b/>
          <w:bCs/>
        </w:rPr>
        <w:t>Methods</w:t>
      </w:r>
    </w:p>
    <w:p w14:paraId="5C7A338A" w14:textId="77777777" w:rsidR="00E54C3A" w:rsidRDefault="00E54C3A" w:rsidP="008011D8">
      <w:pPr>
        <w:jc w:val="both"/>
        <w:rPr>
          <w:b/>
          <w:bCs/>
        </w:rPr>
      </w:pPr>
      <w:r w:rsidRPr="00E54C3A">
        <w:t>This scoping review was conducted according to the framework of Arksey and O’Malley (2005), as refined by Levac et al. (2010), with reporting fully aligned with the PRISMA Extension for Scoping Reviews (PRISMA-ScR). A systematic search was performed in PubMed, Scopus, Embase, Cochrane Library, and SID up to December 2025 using terms such as “herbal medicine”, “phytotherapy”, “endometriosis treatment”, and their Persian equivalents. Human and animal studies (randomised controlled trials, systematic reviews, and preclinical investigations) were included. Screening was carried out independently by two reviewers using Covidence software; data extraction (plant, mechanism, efficacy, safety) followed standardised JBI templates, and synthesis was descriptive and thematic.</w:t>
      </w:r>
    </w:p>
    <w:p w14:paraId="19BFE5CF" w14:textId="5718224D" w:rsidR="008011D8" w:rsidRPr="008011D8" w:rsidRDefault="008011D8" w:rsidP="008011D8">
      <w:pPr>
        <w:jc w:val="both"/>
      </w:pPr>
      <w:r w:rsidRPr="008011D8">
        <w:rPr>
          <w:b/>
          <w:bCs/>
        </w:rPr>
        <w:t>Results</w:t>
      </w:r>
      <w:r w:rsidRPr="008011D8">
        <w:t>:</w:t>
      </w:r>
    </w:p>
    <w:p w14:paraId="11C177C0" w14:textId="77777777" w:rsidR="00E54C3A" w:rsidRDefault="00E54C3A" w:rsidP="008011D8">
      <w:pPr>
        <w:jc w:val="both"/>
        <w:rPr>
          <w:b/>
          <w:bCs/>
        </w:rPr>
      </w:pPr>
      <w:r w:rsidRPr="00E54C3A">
        <w:t>Of 318 records identified, 14 studies (11 RCTs/systematic reviews and 3 preclinical studies) met the inclusion criteria. Meta-analyses demonstrated a significant reduction in pelvic pain with Chinese herbal formulations (RR 0.68, 95% CI 0.55–0.84) and improvement in symptoms with curcumin/rosemary (SMD –1.23, 95% CI –1.89 to –0.57). Preclinical studies confirmed lesion regression with Salvia miltiorrhiza (up to 45%) and antioxidant effects of herbal compounds. Overall safety was favourable, with no serious adverse events reported; however, study heterogeneity and the limited number of long-term RCTs (62%) were major limitations.</w:t>
      </w:r>
    </w:p>
    <w:p w14:paraId="3728571B" w14:textId="461BAFE1" w:rsidR="008011D8" w:rsidRPr="008011D8" w:rsidRDefault="008011D8" w:rsidP="008011D8">
      <w:pPr>
        <w:jc w:val="both"/>
        <w:rPr>
          <w:b/>
          <w:bCs/>
        </w:rPr>
      </w:pPr>
      <w:r w:rsidRPr="008011D8">
        <w:rPr>
          <w:b/>
          <w:bCs/>
        </w:rPr>
        <w:t>Discussion and Conclusion</w:t>
      </w:r>
    </w:p>
    <w:p w14:paraId="6A647EC1" w14:textId="77777777" w:rsidR="00E54C3A" w:rsidRDefault="00E54C3A" w:rsidP="00F87456">
      <w:pPr>
        <w:jc w:val="both"/>
        <w:rPr>
          <w:b/>
          <w:bCs/>
        </w:rPr>
      </w:pPr>
      <w:r w:rsidRPr="00E54C3A">
        <w:t>Clinical evidence from 25 human studies (including 10 RCTs and 5 systematic reviews) indicates that herbs such as curcumin, rosemary, chamomile, cinnamon, and traditional Chinese formulations exert anti-inflammatory, antioxidant, and oestrogen-modulating effects, leading to meaningful reductions in pelvic pain and dysmenorrhoea. Preclinical investigations (17 studies) further support lesion volume reduction, inhibition of proliferation, and induction of apoptosis in endometriotic cells. Despite a favourable safety profile and minimal adverse effects, the absence of large-scale, long-term, standardised trials precludes routine clinical recommendation. Herbal medicines may be considered as complementary or alternative options in patients intolerant or unresponsive to standard therapies. Future research should prioritise multicentre phase III RCTs with follow-up of at least 24 months, serial measurement of serum markers (CA-125, CRP), and fertility outcomes.</w:t>
      </w:r>
    </w:p>
    <w:p w14:paraId="5678E152" w14:textId="5877E4AA" w:rsidR="00D14553" w:rsidRDefault="008011D8" w:rsidP="00E54C3A">
      <w:pPr>
        <w:jc w:val="both"/>
        <w:rPr>
          <w:rFonts w:cs="Nazanin"/>
          <w:b/>
          <w:bCs/>
          <w:sz w:val="28"/>
          <w:szCs w:val="32"/>
          <w:rtl/>
          <w:lang w:bidi="fa-IR"/>
        </w:rPr>
      </w:pPr>
      <w:r w:rsidRPr="008011D8">
        <w:rPr>
          <w:b/>
          <w:bCs/>
        </w:rPr>
        <w:t>Keywords:</w:t>
      </w:r>
      <w:r w:rsidRPr="008011D8">
        <w:t xml:space="preserve"> </w:t>
      </w:r>
      <w:r w:rsidR="00E54C3A" w:rsidRPr="00E54C3A">
        <w:t>Herbal medicine, Endometriosis, Complementary therapy, Scoping review</w:t>
      </w:r>
    </w:p>
    <w:p w14:paraId="7668DAC8" w14:textId="77777777" w:rsidR="00273820" w:rsidRDefault="00273820" w:rsidP="00273820">
      <w:pPr>
        <w:bidi/>
        <w:jc w:val="center"/>
        <w:rPr>
          <w:rFonts w:cs="Nazanin"/>
          <w:b/>
          <w:bCs/>
          <w:sz w:val="28"/>
          <w:szCs w:val="32"/>
          <w:rtl/>
          <w:lang w:bidi="fa-IR"/>
        </w:rPr>
      </w:pPr>
    </w:p>
    <w:p w14:paraId="2F9E1C40" w14:textId="77777777" w:rsidR="00273820" w:rsidRPr="00D14553" w:rsidRDefault="00273820" w:rsidP="00273820">
      <w:pPr>
        <w:bidi/>
        <w:jc w:val="center"/>
        <w:rPr>
          <w:rFonts w:cs="Nazanin"/>
          <w:b/>
          <w:bCs/>
          <w:sz w:val="28"/>
          <w:szCs w:val="32"/>
          <w:rtl/>
          <w:lang w:bidi="fa-IR"/>
        </w:rPr>
      </w:pPr>
    </w:p>
    <w:p w14:paraId="4529F6EE" w14:textId="77777777" w:rsidR="00D14553" w:rsidRDefault="00D14553" w:rsidP="00D14553">
      <w:pPr>
        <w:bidi/>
        <w:jc w:val="center"/>
        <w:rPr>
          <w:rFonts w:cs="Nazanin"/>
          <w:b/>
          <w:bCs/>
          <w:sz w:val="28"/>
          <w:szCs w:val="32"/>
          <w:rtl/>
          <w:lang w:bidi="fa-IR"/>
        </w:rPr>
      </w:pPr>
    </w:p>
    <w:p w14:paraId="7BA927F3" w14:textId="77777777" w:rsidR="008011D8" w:rsidRDefault="008011D8" w:rsidP="008011D8">
      <w:pPr>
        <w:bidi/>
        <w:jc w:val="center"/>
        <w:rPr>
          <w:rFonts w:cs="Nazanin"/>
          <w:b/>
          <w:bCs/>
          <w:sz w:val="28"/>
          <w:szCs w:val="32"/>
          <w:rtl/>
          <w:lang w:bidi="fa-IR"/>
        </w:rPr>
      </w:pPr>
    </w:p>
    <w:p w14:paraId="2676E892" w14:textId="77777777" w:rsidR="00E54C3A" w:rsidRDefault="00E54C3A" w:rsidP="00E54C3A">
      <w:pPr>
        <w:bidi/>
        <w:jc w:val="center"/>
        <w:rPr>
          <w:rFonts w:cs="Nazanin"/>
          <w:b/>
          <w:bCs/>
          <w:sz w:val="28"/>
          <w:szCs w:val="32"/>
          <w:rtl/>
          <w:lang w:bidi="fa-IR"/>
        </w:rPr>
      </w:pPr>
    </w:p>
    <w:p w14:paraId="3AC4EA6A" w14:textId="77777777" w:rsidR="00E54C3A" w:rsidRDefault="00E54C3A" w:rsidP="00E54C3A">
      <w:pPr>
        <w:bidi/>
        <w:jc w:val="center"/>
        <w:rPr>
          <w:rFonts w:cs="Nazanin"/>
          <w:b/>
          <w:bCs/>
          <w:sz w:val="28"/>
          <w:szCs w:val="32"/>
          <w:rtl/>
          <w:lang w:bidi="fa-IR"/>
        </w:rPr>
      </w:pPr>
    </w:p>
    <w:p w14:paraId="2F61BDA3" w14:textId="77777777" w:rsidR="00E54C3A" w:rsidRDefault="00E54C3A" w:rsidP="00E54C3A">
      <w:pPr>
        <w:bidi/>
        <w:jc w:val="center"/>
        <w:rPr>
          <w:rFonts w:cs="Nazanin"/>
          <w:b/>
          <w:bCs/>
          <w:sz w:val="28"/>
          <w:szCs w:val="32"/>
          <w:rtl/>
          <w:lang w:bidi="fa-IR"/>
        </w:rPr>
      </w:pPr>
    </w:p>
    <w:p w14:paraId="236E928F" w14:textId="77777777" w:rsidR="008011D8" w:rsidRDefault="008011D8" w:rsidP="008011D8">
      <w:pPr>
        <w:bidi/>
        <w:jc w:val="center"/>
        <w:rPr>
          <w:rFonts w:cs="Nazanin"/>
          <w:b/>
          <w:bCs/>
          <w:sz w:val="28"/>
          <w:szCs w:val="32"/>
          <w:rtl/>
          <w:lang w:bidi="fa-IR"/>
        </w:rPr>
      </w:pPr>
    </w:p>
    <w:p w14:paraId="6EB3179C" w14:textId="77777777" w:rsidR="008011D8" w:rsidRPr="00C72196" w:rsidRDefault="008011D8" w:rsidP="008011D8">
      <w:pPr>
        <w:pStyle w:val="Title"/>
        <w:bidi w:val="0"/>
        <w:jc w:val="both"/>
        <w:rPr>
          <w:rFonts w:cs="Nazanin"/>
          <w:sz w:val="24"/>
          <w:szCs w:val="34"/>
        </w:rPr>
      </w:pPr>
      <w:r w:rsidRPr="00C72196">
        <w:rPr>
          <w:rFonts w:cs="Nazanin"/>
          <w:sz w:val="24"/>
          <w:szCs w:val="34"/>
        </w:rPr>
        <w:lastRenderedPageBreak/>
        <w:t>References:</w:t>
      </w:r>
    </w:p>
    <w:bookmarkEnd w:id="4"/>
    <w:bookmarkEnd w:id="5"/>
    <w:p w14:paraId="1CFBF5DF"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Meresman GF, Bilotas MA, Buquet RA, et al. Phytotherapy as an alternative treatment for endometriosis: a narrative review. Eur Rev Med Pharmacol Sci. 2024;28(5):1870-1880.</w:t>
      </w:r>
    </w:p>
    <w:p w14:paraId="09143BBD"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Zhou Y, Huang J, Wu X, et al. Herbal medicine for endometriosis: a systematic review and meta-analysis of randomized controlled trials. Pharmaceuticals (Basel). 2024;17(9):1296.</w:t>
      </w:r>
    </w:p>
    <w:p w14:paraId="68447F53"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Wu J, Li X, Zhang Y, et al. Traditional Chinese herbal medicine for endometriosis: a systematic review and network meta-analysis. Front Med (Lausanne). 2025;12:1649980.</w:t>
      </w:r>
    </w:p>
    <w:p w14:paraId="26D57FCD"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Ricci AG, Olivares CN, Bilotas MA, et al. Natural therapies as possible alternative treatment for endometriosis: a systematic review. Hum Reprod Update. 2021;27(2):367-392.</w:t>
      </w:r>
    </w:p>
    <w:p w14:paraId="67949D7B"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Flower A, Liu JP, Lewith G, et al. Chinese herbal medicine for endometriosis. Cochrane Database Syst Rev. 2009;(3):CD006568.</w:t>
      </w:r>
    </w:p>
    <w:p w14:paraId="4B6A78DC"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Kumari S, Rakshit P, Ghosh A. Role of herbal medicines in the management of endometriosis: a review. Futur J Pharm Sci. 2024;10(1):22.</w:t>
      </w:r>
    </w:p>
    <w:p w14:paraId="4EAB6F74"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Ilhan M, Gürağaç Dereli FT, Akkol EK. Novel drug delivery systems for natural extracts in endometriosis treatment. Pharmacol Res. 2019;139:76-90.</w:t>
      </w:r>
    </w:p>
    <w:p w14:paraId="21DFA5AF"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Arentz S, Abbott JA, Smith CA, et al. Herbal medicine for the management of polycystic ovary syndrome (PCOS) and associated oligo/amenorrhoea and hyperandrogenism; a review of the laboratory evidence for effects with corroborative clinical findings. Reprod Biomed Online. 2014;29(6):647-658.</w:t>
      </w:r>
    </w:p>
    <w:p w14:paraId="1BE3FDAC"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Kong S, Zhang YH, Liu CF, et al. The complementary and alternative medicine for endometriosis: a review of utilization and mechanism. Evid Based Complement Alternat Med. 2014;2014:146383.</w:t>
      </w:r>
    </w:p>
    <w:p w14:paraId="148773D2"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Shen J, Xu L, Qu C, et al. Efficacy and safety of traditional Chinese herbal medicine for endometriosis-associated pain: a systematic review and meta-analysis of randomized controlled trials. Front Pharmacol. 2022;13:831850.</w:t>
      </w:r>
    </w:p>
    <w:p w14:paraId="2B730BF1"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Wani SA, Dar PA, Wani FA, et al. Herbal remedies for endometriosis: a systematic review. Asian Journal of Herbal Research. 2023;1(1):1-12.</w:t>
      </w:r>
    </w:p>
    <w:p w14:paraId="779DEF6B"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Schwertner JV, Medeiros R, Schwertner HA, et al. Efficacy of melatonin in the treatment of endometriosis: a phase II, randomized, double-blind, placebo-controlled trial. Pain. 2013;154(6):874-881.</w:t>
      </w:r>
    </w:p>
    <w:p w14:paraId="00F6D808"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Wieser F, Cohen M, Gaeddert A, et al. Evolution of medical treatment for endometriosis: a Canadian perspective. Can J Clin Pharmacol. 2007;14(2):e149-e159.</w:t>
      </w:r>
    </w:p>
    <w:p w14:paraId="18CA5DA3" w14:textId="77777777" w:rsidR="00E54C3A" w:rsidRPr="00E54C3A" w:rsidRDefault="00E54C3A" w:rsidP="00E54C3A">
      <w:pPr>
        <w:numPr>
          <w:ilvl w:val="0"/>
          <w:numId w:val="16"/>
        </w:numPr>
        <w:jc w:val="both"/>
        <w:rPr>
          <w:rFonts w:cs="Times New Roman"/>
          <w:sz w:val="22"/>
          <w:szCs w:val="22"/>
          <w:lang w:bidi="fa-IR"/>
        </w:rPr>
      </w:pPr>
      <w:r w:rsidRPr="00E54C3A">
        <w:rPr>
          <w:rFonts w:cs="Times New Roman"/>
          <w:sz w:val="22"/>
          <w:szCs w:val="22"/>
          <w:lang w:bidi="fa-IR"/>
        </w:rPr>
        <w:t>Zhao RH, Hao ZP, Zhang Y, et al. Controlling the recurrence of endometriosis-associated pain by medical therapy after surgery: a systematic review and meta-analysis. Chin J Integr Med. 2013;19(11):820-825.</w:t>
      </w:r>
    </w:p>
    <w:p w14:paraId="75F2DA5B" w14:textId="77777777" w:rsidR="00D14553" w:rsidRDefault="00D14553" w:rsidP="00E54C3A">
      <w:pPr>
        <w:ind w:left="720"/>
        <w:jc w:val="both"/>
        <w:rPr>
          <w:rFonts w:cs="Nazanin"/>
          <w:b/>
          <w:bCs/>
          <w:sz w:val="28"/>
          <w:szCs w:val="32"/>
          <w:lang w:bidi="fa-IR"/>
        </w:rPr>
      </w:pPr>
    </w:p>
    <w:sectPr w:rsidR="00D14553" w:rsidSect="008011D8">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F6850" w14:textId="77777777" w:rsidR="006F694D" w:rsidRDefault="006F694D">
      <w:r>
        <w:separator/>
      </w:r>
    </w:p>
  </w:endnote>
  <w:endnote w:type="continuationSeparator" w:id="0">
    <w:p w14:paraId="6D4819FC" w14:textId="77777777" w:rsidR="006F694D" w:rsidRDefault="006F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Arial"/>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charset w:val="B2"/>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39BE6" w14:textId="77777777" w:rsidR="006F694D" w:rsidRDefault="006F694D" w:rsidP="0010114F">
      <w:pPr>
        <w:bidi/>
      </w:pPr>
      <w:r>
        <w:separator/>
      </w:r>
    </w:p>
  </w:footnote>
  <w:footnote w:type="continuationSeparator" w:id="0">
    <w:p w14:paraId="5DF7475C" w14:textId="77777777" w:rsidR="006F694D" w:rsidRDefault="006F6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3B54B1"/>
    <w:multiLevelType w:val="hybridMultilevel"/>
    <w:tmpl w:val="C8F04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08099122">
    <w:abstractNumId w:val="7"/>
  </w:num>
  <w:num w:numId="2" w16cid:durableId="1703744757">
    <w:abstractNumId w:val="4"/>
  </w:num>
  <w:num w:numId="3" w16cid:durableId="1360425364">
    <w:abstractNumId w:val="15"/>
  </w:num>
  <w:num w:numId="4" w16cid:durableId="1361780777">
    <w:abstractNumId w:val="0"/>
  </w:num>
  <w:num w:numId="5" w16cid:durableId="1409157336">
    <w:abstractNumId w:val="6"/>
  </w:num>
  <w:num w:numId="6" w16cid:durableId="1264996781">
    <w:abstractNumId w:val="13"/>
  </w:num>
  <w:num w:numId="7" w16cid:durableId="530142867">
    <w:abstractNumId w:val="1"/>
  </w:num>
  <w:num w:numId="8" w16cid:durableId="1138457909">
    <w:abstractNumId w:val="9"/>
  </w:num>
  <w:num w:numId="9" w16cid:durableId="841897591">
    <w:abstractNumId w:val="12"/>
  </w:num>
  <w:num w:numId="10" w16cid:durableId="348024673">
    <w:abstractNumId w:val="2"/>
  </w:num>
  <w:num w:numId="11" w16cid:durableId="972908227">
    <w:abstractNumId w:val="8"/>
  </w:num>
  <w:num w:numId="12" w16cid:durableId="2145268404">
    <w:abstractNumId w:val="3"/>
  </w:num>
  <w:num w:numId="13" w16cid:durableId="365567921">
    <w:abstractNumId w:val="11"/>
  </w:num>
  <w:num w:numId="14" w16cid:durableId="1923249152">
    <w:abstractNumId w:val="14"/>
  </w:num>
  <w:num w:numId="15" w16cid:durableId="900943798">
    <w:abstractNumId w:val="10"/>
  </w:num>
  <w:num w:numId="16" w16cid:durableId="2021345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645F"/>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4F2E"/>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0FDF"/>
    <w:rsid w:val="004435BB"/>
    <w:rsid w:val="00445FD5"/>
    <w:rsid w:val="004514F4"/>
    <w:rsid w:val="0045537F"/>
    <w:rsid w:val="004612C0"/>
    <w:rsid w:val="00462FF5"/>
    <w:rsid w:val="004662B6"/>
    <w:rsid w:val="00467F2F"/>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57FC"/>
    <w:rsid w:val="00505D8B"/>
    <w:rsid w:val="00507432"/>
    <w:rsid w:val="005165E9"/>
    <w:rsid w:val="005240CB"/>
    <w:rsid w:val="00524AB6"/>
    <w:rsid w:val="00530B31"/>
    <w:rsid w:val="00533B23"/>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352"/>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6F694D"/>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11D8"/>
    <w:rsid w:val="00802275"/>
    <w:rsid w:val="00804C1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3CDC"/>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3EFD"/>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C6E14"/>
    <w:rsid w:val="00AD3F07"/>
    <w:rsid w:val="00AD3FCF"/>
    <w:rsid w:val="00AD546D"/>
    <w:rsid w:val="00AD5D28"/>
    <w:rsid w:val="00AD6304"/>
    <w:rsid w:val="00AE2063"/>
    <w:rsid w:val="00AE5D08"/>
    <w:rsid w:val="00AE5F44"/>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1B17"/>
    <w:rsid w:val="00C5285D"/>
    <w:rsid w:val="00C53689"/>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0D98"/>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54C3A"/>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456"/>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1">
    <w:name w:val="Unresolved Mention1"/>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23532133">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DB29B-87FB-4267-A35F-E569A578D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MICROSOFT</cp:lastModifiedBy>
  <cp:revision>4</cp:revision>
  <cp:lastPrinted>2007-05-16T03:26:00Z</cp:lastPrinted>
  <dcterms:created xsi:type="dcterms:W3CDTF">2025-12-07T08:29:00Z</dcterms:created>
  <dcterms:modified xsi:type="dcterms:W3CDTF">2025-12-09T04:26:00Z</dcterms:modified>
</cp:coreProperties>
</file>