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1AFE9" w14:textId="3DE030CC" w:rsidR="00005DF6" w:rsidRPr="00005DF6" w:rsidRDefault="00005DF6" w:rsidP="00005DF6">
      <w:pPr>
        <w:pStyle w:val="NormalWeb"/>
        <w:jc w:val="center"/>
      </w:pPr>
      <w:r>
        <w:rPr>
          <w:rStyle w:val="Strong"/>
          <w:rFonts w:eastAsiaTheme="majorEastAsia"/>
        </w:rPr>
        <w:t>Team-Based Nursing in the Intensive Care Unit: A Review of Evidence on Improving Outcomes in Critically Ill Patients</w:t>
      </w:r>
    </w:p>
    <w:p w14:paraId="37E250FB" w14:textId="0AA02BEC" w:rsidR="004939EF" w:rsidRPr="00C81252" w:rsidRDefault="00005DF6" w:rsidP="004939EF">
      <w:pPr>
        <w:spacing w:line="240" w:lineRule="auto"/>
        <w:jc w:val="center"/>
        <w:rPr>
          <w:rFonts w:cs="B Nazanin"/>
          <w:b/>
          <w:bCs/>
          <w:color w:val="000000" w:themeColor="text1"/>
          <w:sz w:val="24"/>
          <w:szCs w:val="24"/>
        </w:rPr>
      </w:pPr>
      <w:proofErr w:type="spellStart"/>
      <w:r>
        <w:rPr>
          <w:rFonts w:cs="B Nazanin"/>
          <w:b/>
          <w:bCs/>
          <w:color w:val="000000" w:themeColor="text1"/>
          <w:sz w:val="24"/>
          <w:szCs w:val="24"/>
        </w:rPr>
        <w:t>Mohammadreza</w:t>
      </w:r>
      <w:proofErr w:type="spellEnd"/>
      <w:r>
        <w:rPr>
          <w:rFonts w:cs="B Nazanin"/>
          <w:b/>
          <w:bCs/>
          <w:color w:val="000000" w:themeColor="text1"/>
          <w:sz w:val="24"/>
          <w:szCs w:val="24"/>
        </w:rPr>
        <w:t xml:space="preserve"> </w:t>
      </w:r>
      <w:proofErr w:type="spellStart"/>
      <w:r>
        <w:rPr>
          <w:rFonts w:cs="B Nazanin"/>
          <w:b/>
          <w:bCs/>
          <w:color w:val="000000" w:themeColor="text1"/>
          <w:sz w:val="24"/>
          <w:szCs w:val="24"/>
        </w:rPr>
        <w:t>Razmara</w:t>
      </w:r>
      <w:proofErr w:type="spellEnd"/>
    </w:p>
    <w:p w14:paraId="348A2B1E" w14:textId="33A4F8F0" w:rsidR="00005DF6" w:rsidRPr="00005DF6" w:rsidRDefault="00005DF6" w:rsidP="00005DF6">
      <w:pPr>
        <w:pStyle w:val="NormalWeb"/>
        <w:jc w:val="center"/>
        <w:rPr>
          <w:b/>
          <w:bCs/>
          <w:sz w:val="18"/>
          <w:szCs w:val="18"/>
        </w:rPr>
      </w:pPr>
      <w:r w:rsidRPr="00005DF6">
        <w:rPr>
          <w:rStyle w:val="Strong"/>
          <w:rFonts w:eastAsiaTheme="majorEastAsia"/>
          <w:b w:val="0"/>
          <w:bCs w:val="0"/>
          <w:sz w:val="18"/>
          <w:szCs w:val="18"/>
        </w:rPr>
        <w:t xml:space="preserve">Department of Nursing, </w:t>
      </w:r>
      <w:proofErr w:type="spellStart"/>
      <w:r w:rsidRPr="00005DF6">
        <w:rPr>
          <w:rStyle w:val="Strong"/>
          <w:rFonts w:eastAsiaTheme="majorEastAsia"/>
          <w:b w:val="0"/>
          <w:bCs w:val="0"/>
          <w:sz w:val="18"/>
          <w:szCs w:val="18"/>
        </w:rPr>
        <w:t>Birjand</w:t>
      </w:r>
      <w:proofErr w:type="spellEnd"/>
      <w:r w:rsidRPr="00005DF6">
        <w:rPr>
          <w:rStyle w:val="Strong"/>
          <w:rFonts w:eastAsiaTheme="majorEastAsia"/>
          <w:b w:val="0"/>
          <w:bCs w:val="0"/>
          <w:sz w:val="18"/>
          <w:szCs w:val="18"/>
        </w:rPr>
        <w:t xml:space="preserve"> Branch, Islamic Azad University, </w:t>
      </w:r>
      <w:proofErr w:type="spellStart"/>
      <w:r w:rsidRPr="00005DF6">
        <w:rPr>
          <w:rStyle w:val="Strong"/>
          <w:rFonts w:eastAsiaTheme="majorEastAsia"/>
          <w:b w:val="0"/>
          <w:bCs w:val="0"/>
          <w:sz w:val="18"/>
          <w:szCs w:val="18"/>
        </w:rPr>
        <w:t>Birjand</w:t>
      </w:r>
      <w:proofErr w:type="spellEnd"/>
      <w:r w:rsidRPr="00005DF6">
        <w:rPr>
          <w:rStyle w:val="Strong"/>
          <w:rFonts w:eastAsiaTheme="majorEastAsia"/>
          <w:b w:val="0"/>
          <w:bCs w:val="0"/>
          <w:sz w:val="18"/>
          <w:szCs w:val="18"/>
        </w:rPr>
        <w:t>, Iran</w:t>
      </w:r>
      <w:r w:rsidRPr="00005DF6">
        <w:rPr>
          <w:b/>
          <w:bCs/>
          <w:sz w:val="18"/>
          <w:szCs w:val="18"/>
        </w:rPr>
        <w:t xml:space="preserve"> </w:t>
      </w:r>
    </w:p>
    <w:p w14:paraId="1BDC001D" w14:textId="41A27491" w:rsidR="003D7B70" w:rsidRPr="003D7B70" w:rsidRDefault="00005DF6" w:rsidP="00005DF6">
      <w:pPr>
        <w:spacing w:line="240" w:lineRule="auto"/>
        <w:jc w:val="center"/>
        <w:rPr>
          <w:rFonts w:cs="B Nazanin"/>
          <w:b/>
          <w:bCs/>
          <w:color w:val="000000" w:themeColor="text1"/>
          <w:sz w:val="24"/>
          <w:szCs w:val="24"/>
          <w:rtl/>
        </w:rPr>
      </w:pPr>
      <w:proofErr w:type="spellStart"/>
      <w:r>
        <w:rPr>
          <w:rFonts w:cs="B Nazanin"/>
          <w:b/>
          <w:bCs/>
          <w:color w:val="000000" w:themeColor="text1"/>
          <w:sz w:val="24"/>
          <w:szCs w:val="24"/>
        </w:rPr>
        <w:t>Samin</w:t>
      </w:r>
      <w:proofErr w:type="spellEnd"/>
      <w:r>
        <w:rPr>
          <w:rFonts w:cs="B Nazanin"/>
          <w:b/>
          <w:bCs/>
          <w:color w:val="000000" w:themeColor="text1"/>
          <w:sz w:val="24"/>
          <w:szCs w:val="24"/>
        </w:rPr>
        <w:t xml:space="preserve"> </w:t>
      </w:r>
      <w:proofErr w:type="spellStart"/>
      <w:r>
        <w:rPr>
          <w:rFonts w:cs="B Nazanin"/>
          <w:b/>
          <w:bCs/>
          <w:color w:val="000000" w:themeColor="text1"/>
          <w:sz w:val="24"/>
          <w:szCs w:val="24"/>
        </w:rPr>
        <w:t>Zanganeh</w:t>
      </w:r>
      <w:proofErr w:type="spellEnd"/>
    </w:p>
    <w:p w14:paraId="7B7DBD88" w14:textId="38DE498E" w:rsidR="00005DF6" w:rsidRPr="00005DF6" w:rsidRDefault="00005DF6" w:rsidP="00005DF6">
      <w:pPr>
        <w:pStyle w:val="NormalWeb"/>
        <w:jc w:val="center"/>
        <w:rPr>
          <w:b/>
          <w:bCs/>
          <w:sz w:val="18"/>
          <w:szCs w:val="18"/>
        </w:rPr>
      </w:pPr>
      <w:r w:rsidRPr="00005DF6">
        <w:rPr>
          <w:rStyle w:val="Strong"/>
          <w:rFonts w:eastAsiaTheme="majorEastAsia"/>
          <w:b w:val="0"/>
          <w:bCs w:val="0"/>
          <w:sz w:val="18"/>
          <w:szCs w:val="18"/>
        </w:rPr>
        <w:t xml:space="preserve">Department of Nursing, </w:t>
      </w:r>
      <w:proofErr w:type="spellStart"/>
      <w:r w:rsidRPr="00005DF6">
        <w:rPr>
          <w:rStyle w:val="Strong"/>
          <w:rFonts w:eastAsiaTheme="majorEastAsia"/>
          <w:b w:val="0"/>
          <w:bCs w:val="0"/>
          <w:sz w:val="18"/>
          <w:szCs w:val="18"/>
        </w:rPr>
        <w:t>Birjand</w:t>
      </w:r>
      <w:proofErr w:type="spellEnd"/>
      <w:r w:rsidRPr="00005DF6">
        <w:rPr>
          <w:rStyle w:val="Strong"/>
          <w:rFonts w:eastAsiaTheme="majorEastAsia"/>
          <w:b w:val="0"/>
          <w:bCs w:val="0"/>
          <w:sz w:val="18"/>
          <w:szCs w:val="18"/>
        </w:rPr>
        <w:t xml:space="preserve"> Branch, Islamic Azad University, </w:t>
      </w:r>
      <w:proofErr w:type="spellStart"/>
      <w:r w:rsidRPr="00005DF6">
        <w:rPr>
          <w:rStyle w:val="Strong"/>
          <w:rFonts w:eastAsiaTheme="majorEastAsia"/>
          <w:b w:val="0"/>
          <w:bCs w:val="0"/>
          <w:sz w:val="18"/>
          <w:szCs w:val="18"/>
        </w:rPr>
        <w:t>Birjand</w:t>
      </w:r>
      <w:proofErr w:type="spellEnd"/>
      <w:r w:rsidRPr="00005DF6">
        <w:rPr>
          <w:rStyle w:val="Strong"/>
          <w:rFonts w:eastAsiaTheme="majorEastAsia"/>
          <w:b w:val="0"/>
          <w:bCs w:val="0"/>
          <w:sz w:val="18"/>
          <w:szCs w:val="18"/>
        </w:rPr>
        <w:t>, Iran</w:t>
      </w:r>
      <w:r w:rsidRPr="00005DF6">
        <w:rPr>
          <w:b/>
          <w:bCs/>
          <w:sz w:val="18"/>
          <w:szCs w:val="18"/>
        </w:rPr>
        <w:t xml:space="preserve"> </w:t>
      </w:r>
    </w:p>
    <w:p w14:paraId="635C54C7" w14:textId="01A0A32A" w:rsidR="003D7B70" w:rsidRPr="00005DF6" w:rsidRDefault="00005DF6" w:rsidP="00005DF6">
      <w:pPr>
        <w:spacing w:line="240" w:lineRule="auto"/>
        <w:jc w:val="center"/>
        <w:rPr>
          <w:rFonts w:cs="B Nazanin"/>
          <w:b/>
          <w:bCs/>
          <w:color w:val="000000" w:themeColor="text1"/>
          <w:sz w:val="24"/>
          <w:szCs w:val="24"/>
          <w:vertAlign w:val="superscript"/>
          <w:rtl/>
        </w:rPr>
      </w:pPr>
      <w:proofErr w:type="spellStart"/>
      <w:r>
        <w:rPr>
          <w:rFonts w:cs="B Nazanin"/>
          <w:b/>
          <w:bCs/>
          <w:color w:val="000000" w:themeColor="text1"/>
          <w:sz w:val="24"/>
          <w:szCs w:val="24"/>
        </w:rPr>
        <w:t>Pouriya</w:t>
      </w:r>
      <w:proofErr w:type="spellEnd"/>
      <w:r>
        <w:rPr>
          <w:rFonts w:cs="B Nazanin"/>
          <w:b/>
          <w:bCs/>
          <w:color w:val="000000" w:themeColor="text1"/>
          <w:sz w:val="24"/>
          <w:szCs w:val="24"/>
        </w:rPr>
        <w:t xml:space="preserve"> </w:t>
      </w:r>
      <w:proofErr w:type="spellStart"/>
      <w:r>
        <w:rPr>
          <w:rFonts w:cs="B Nazanin"/>
          <w:b/>
          <w:bCs/>
          <w:color w:val="000000" w:themeColor="text1"/>
          <w:sz w:val="24"/>
          <w:szCs w:val="24"/>
        </w:rPr>
        <w:t>Valizadeh</w:t>
      </w:r>
      <w:proofErr w:type="spellEnd"/>
      <w:r>
        <w:rPr>
          <w:rFonts w:cs="B Nazanin"/>
          <w:b/>
          <w:bCs/>
          <w:color w:val="000000" w:themeColor="text1"/>
          <w:sz w:val="24"/>
          <w:szCs w:val="24"/>
          <w:vertAlign w:val="superscript"/>
        </w:rPr>
        <w:t>*</w:t>
      </w:r>
    </w:p>
    <w:p w14:paraId="1C0A5808" w14:textId="41B2C0F1" w:rsidR="00005DF6" w:rsidRDefault="00005DF6" w:rsidP="00005DF6">
      <w:pPr>
        <w:pStyle w:val="NormalWeb"/>
        <w:jc w:val="center"/>
        <w:rPr>
          <w:b/>
          <w:bCs/>
          <w:sz w:val="18"/>
          <w:szCs w:val="18"/>
        </w:rPr>
      </w:pPr>
      <w:r w:rsidRPr="00005DF6">
        <w:rPr>
          <w:rStyle w:val="Strong"/>
          <w:rFonts w:eastAsiaTheme="majorEastAsia"/>
          <w:b w:val="0"/>
          <w:bCs w:val="0"/>
          <w:sz w:val="18"/>
          <w:szCs w:val="18"/>
        </w:rPr>
        <w:t xml:space="preserve">Department of Nursing, </w:t>
      </w:r>
      <w:proofErr w:type="spellStart"/>
      <w:r w:rsidRPr="00005DF6">
        <w:rPr>
          <w:rStyle w:val="Strong"/>
          <w:rFonts w:eastAsiaTheme="majorEastAsia"/>
          <w:b w:val="0"/>
          <w:bCs w:val="0"/>
          <w:sz w:val="18"/>
          <w:szCs w:val="18"/>
        </w:rPr>
        <w:t>Birjand</w:t>
      </w:r>
      <w:proofErr w:type="spellEnd"/>
      <w:r w:rsidRPr="00005DF6">
        <w:rPr>
          <w:rStyle w:val="Strong"/>
          <w:rFonts w:eastAsiaTheme="majorEastAsia"/>
          <w:b w:val="0"/>
          <w:bCs w:val="0"/>
          <w:sz w:val="18"/>
          <w:szCs w:val="18"/>
        </w:rPr>
        <w:t xml:space="preserve"> Branch, Islamic Azad University, </w:t>
      </w:r>
      <w:proofErr w:type="spellStart"/>
      <w:r w:rsidRPr="00005DF6">
        <w:rPr>
          <w:rStyle w:val="Strong"/>
          <w:rFonts w:eastAsiaTheme="majorEastAsia"/>
          <w:b w:val="0"/>
          <w:bCs w:val="0"/>
          <w:sz w:val="18"/>
          <w:szCs w:val="18"/>
        </w:rPr>
        <w:t>Birjand</w:t>
      </w:r>
      <w:proofErr w:type="spellEnd"/>
      <w:r w:rsidRPr="00005DF6">
        <w:rPr>
          <w:rStyle w:val="Strong"/>
          <w:rFonts w:eastAsiaTheme="majorEastAsia"/>
          <w:b w:val="0"/>
          <w:bCs w:val="0"/>
          <w:sz w:val="18"/>
          <w:szCs w:val="18"/>
        </w:rPr>
        <w:t>, Iran</w:t>
      </w:r>
      <w:r>
        <w:rPr>
          <w:rStyle w:val="Strong"/>
          <w:rFonts w:eastAsiaTheme="majorEastAsia"/>
          <w:b w:val="0"/>
          <w:bCs w:val="0"/>
          <w:sz w:val="18"/>
          <w:szCs w:val="18"/>
        </w:rPr>
        <w:br/>
        <w:t>(</w:t>
      </w:r>
      <w:r w:rsidRPr="00005DF6">
        <w:rPr>
          <w:b/>
          <w:bCs/>
          <w:sz w:val="18"/>
          <w:szCs w:val="18"/>
        </w:rPr>
        <w:t xml:space="preserve"> pourvz36@gmail.com</w:t>
      </w:r>
      <w:r>
        <w:rPr>
          <w:b/>
          <w:bCs/>
          <w:sz w:val="18"/>
          <w:szCs w:val="18"/>
        </w:rPr>
        <w:t>)</w:t>
      </w:r>
    </w:p>
    <w:p w14:paraId="039EF31B" w14:textId="1D0320B4" w:rsidR="004939EF" w:rsidRPr="00005DF6" w:rsidRDefault="004939EF" w:rsidP="00005DF6">
      <w:pPr>
        <w:pStyle w:val="NormalWeb"/>
        <w:jc w:val="both"/>
        <w:rPr>
          <w:b/>
          <w:bCs/>
          <w:sz w:val="18"/>
          <w:szCs w:val="18"/>
        </w:rPr>
      </w:pPr>
      <w:r w:rsidRPr="00F55122">
        <w:rPr>
          <w:b/>
          <w:bCs/>
          <w:sz w:val="36"/>
          <w:szCs w:val="36"/>
        </w:rPr>
        <w:t xml:space="preserve"> </w:t>
      </w:r>
      <w:r>
        <w:rPr>
          <w:rStyle w:val="Strong"/>
          <w:rFonts w:eastAsiaTheme="majorEastAsia"/>
        </w:rPr>
        <w:t>Background:</w:t>
      </w:r>
      <w:r>
        <w:br/>
        <w:t>Teamwork among healthcare professionals is a key determinant of patient safety and is closely linked to missed nursing care. In Intensive Care Units (ICUs), where a large proportion of critically ill patients receive mechanically ventilated (MV) support, effective collaboration among physicians, nurses, and respiratory therapists is essential. Inadequate MV management can result in complications such as pneumonia and prolonged ventilator dependence. Missed nursing care—defined as any required care that is omitted in whole or in part, or delayed—includes activities such as ambulation, mouth care, bathing, mobilization, and explaining procedures. Strengthening ICU nurses’ teamwork attitudes may reduce missed care and nurses’ intent to leave.</w:t>
      </w:r>
    </w:p>
    <w:p w14:paraId="03E10CE2" w14:textId="77777777" w:rsidR="004939EF" w:rsidRDefault="004939EF" w:rsidP="004939EF">
      <w:pPr>
        <w:pStyle w:val="NormalWeb"/>
        <w:jc w:val="both"/>
      </w:pPr>
      <w:r>
        <w:rPr>
          <w:rStyle w:val="Strong"/>
          <w:rFonts w:eastAsiaTheme="majorEastAsia"/>
        </w:rPr>
        <w:t>Methods:</w:t>
      </w:r>
      <w:r>
        <w:br/>
        <w:t>This study examined the relationship between ICU nurses’ teamwork attitudes, the frequency of missed nursing care in MV patients, and nurses’ intent to leave. Standardized questionnaires were used to measure teamwork attitudes, types and frequency of missed care, and intent to leave. Data were analyzed using descriptive and inferential statistics.</w:t>
      </w:r>
    </w:p>
    <w:p w14:paraId="6BB7E4CF" w14:textId="77777777" w:rsidR="004939EF" w:rsidRDefault="004939EF" w:rsidP="004939EF">
      <w:pPr>
        <w:pStyle w:val="NormalWeb"/>
        <w:jc w:val="both"/>
      </w:pPr>
      <w:r>
        <w:rPr>
          <w:rStyle w:val="Strong"/>
          <w:rFonts w:eastAsiaTheme="majorEastAsia"/>
        </w:rPr>
        <w:t>Results:</w:t>
      </w:r>
      <w:r>
        <w:br/>
        <w:t>Higher teamwork attitude scores were associated with lower frequencies of missed nursing care, particularly in basic care and patient education activities. Nurses with more positive teamwork attitudes also reported a lower intent to leave their current position. Teamwork attitudes emerged as a significant predictor of both missed nursing care and intent to leave.</w:t>
      </w:r>
    </w:p>
    <w:p w14:paraId="08D1C793" w14:textId="77777777" w:rsidR="004939EF" w:rsidRDefault="004939EF" w:rsidP="004939EF">
      <w:pPr>
        <w:pStyle w:val="NormalWeb"/>
        <w:jc w:val="both"/>
      </w:pPr>
      <w:r>
        <w:rPr>
          <w:rStyle w:val="Strong"/>
          <w:rFonts w:eastAsiaTheme="majorEastAsia"/>
        </w:rPr>
        <w:t>Conclusion:</w:t>
      </w:r>
      <w:r>
        <w:br/>
        <w:t>Enhancing teamwork attitudes among ICU nurses may reduce missed nursing care and improve the safety and quality of care for mechanically ventilated patients, while also decreasing nurses’ intent to leave. Interventions to promote effective teamwork in ICUs should be considered a strategic priority.</w:t>
      </w:r>
    </w:p>
    <w:p w14:paraId="72E1F4F1" w14:textId="77777777" w:rsidR="004939EF" w:rsidRDefault="004939EF" w:rsidP="004939EF">
      <w:pPr>
        <w:pStyle w:val="NormalWeb"/>
        <w:jc w:val="both"/>
      </w:pPr>
      <w:r>
        <w:rPr>
          <w:rStyle w:val="Strong"/>
          <w:rFonts w:eastAsiaTheme="majorEastAsia"/>
        </w:rPr>
        <w:t>Keywords:</w:t>
      </w:r>
      <w:r>
        <w:br/>
        <w:t>Intensive Care Unit (ICU); teamwork attitudes; missed nursing care; mechanically ventilated patients; intent to leave; patient safety.</w:t>
      </w:r>
    </w:p>
    <w:p w14:paraId="14594819" w14:textId="77777777" w:rsidR="004939EF" w:rsidRPr="00203451" w:rsidRDefault="004939EF" w:rsidP="004939EF">
      <w:pPr>
        <w:bidi w:val="0"/>
        <w:ind w:left="450" w:right="-540"/>
        <w:jc w:val="both"/>
        <w:rPr>
          <w:b/>
          <w:bCs/>
          <w:sz w:val="36"/>
          <w:szCs w:val="36"/>
          <w:rtl/>
        </w:rPr>
      </w:pPr>
      <w:r w:rsidRPr="00203451">
        <w:rPr>
          <w:b/>
          <w:bCs/>
          <w:sz w:val="36"/>
          <w:szCs w:val="36"/>
        </w:rPr>
        <w:t>Introduction</w:t>
      </w:r>
    </w:p>
    <w:p w14:paraId="402FB3BC" w14:textId="77777777" w:rsidR="004939EF" w:rsidRPr="000751A1" w:rsidRDefault="004939EF" w:rsidP="004939EF">
      <w:pPr>
        <w:bidi w:val="0"/>
        <w:ind w:left="450" w:right="-540"/>
        <w:jc w:val="both"/>
        <w:rPr>
          <w:sz w:val="20"/>
          <w:szCs w:val="20"/>
        </w:rPr>
      </w:pPr>
      <w:r w:rsidRPr="00203451">
        <w:rPr>
          <w:sz w:val="20"/>
          <w:szCs w:val="20"/>
        </w:rPr>
        <w:t xml:space="preserve">The Intensive Care Unit (ICU) is essential for critically ill patients at high risk of organ failure and death, with approximately 5.7 million annual admissions in the US, representing 27% of all hospital admissions </w:t>
      </w:r>
      <w:r>
        <w:rPr>
          <w:rFonts w:hint="cs"/>
          <w:sz w:val="20"/>
          <w:szCs w:val="20"/>
          <w:rtl/>
        </w:rPr>
        <w:t>.</w:t>
      </w:r>
      <w:r w:rsidRPr="00203451">
        <w:rPr>
          <w:sz w:val="20"/>
          <w:szCs w:val="20"/>
        </w:rPr>
        <w:t xml:space="preserve">The ICU team, including physicians, nurses, and respiratory therapists, collaborates to manage mechanically </w:t>
      </w:r>
      <w:proofErr w:type="spellStart"/>
      <w:r w:rsidRPr="00203451">
        <w:rPr>
          <w:sz w:val="20"/>
          <w:szCs w:val="20"/>
        </w:rPr>
        <w:t>venti</w:t>
      </w:r>
      <w:proofErr w:type="spellEnd"/>
      <w:r w:rsidRPr="00203451">
        <w:rPr>
          <w:sz w:val="20"/>
          <w:szCs w:val="20"/>
        </w:rPr>
        <w:t xml:space="preserve"> </w:t>
      </w:r>
      <w:proofErr w:type="spellStart"/>
      <w:r w:rsidRPr="00203451">
        <w:rPr>
          <w:sz w:val="20"/>
          <w:szCs w:val="20"/>
        </w:rPr>
        <w:t>lated</w:t>
      </w:r>
      <w:proofErr w:type="spellEnd"/>
      <w:r w:rsidRPr="00203451">
        <w:rPr>
          <w:sz w:val="20"/>
          <w:szCs w:val="20"/>
        </w:rPr>
        <w:t xml:space="preserve"> (MV) patients. Inadequate MV management can lead to complications like pneumonia and long-term dependency on ventilation. Globally, over 20 million patients receive MV support, with 35–50% of ICU patients requiring it . Although a significant number of these patients recover and are eventually discharged , the annual costs of long-term ventilation in the US exceed $25 billion . Effective care coordination pre vents complications and ensures optimal patient outcomes .  Teamwork is defined as a set of interrelated thoughts, actions, and feelings of each team member that are needed to function as a team . Efficient teamwork may decrease bedside information mistakes, correct data </w:t>
      </w:r>
      <w:proofErr w:type="spellStart"/>
      <w:r w:rsidRPr="00203451">
        <w:rPr>
          <w:sz w:val="20"/>
          <w:szCs w:val="20"/>
        </w:rPr>
        <w:t>mis</w:t>
      </w:r>
      <w:proofErr w:type="spellEnd"/>
      <w:r w:rsidRPr="00203451">
        <w:rPr>
          <w:sz w:val="20"/>
          <w:szCs w:val="20"/>
        </w:rPr>
        <w:t xml:space="preserve"> understanding, advance effective communication , and ultimately improve patient outcomes. Previous studies showed that good teamwork decreased the frequency of missed nursing care, minimized adverse events, and pre vented nurse-sensitive adverse patient outcomes . Furthermore, effective teamwork is beneficial for nurses because it improves the work environment, increases job satisfaction and productivity , reduces fatigue and burnout, and decreases the intent to leave among nurses . Teamwork attitudes refer to the attitudes towards the core components of teamwork in healthcare, which is a key element and predictor of teamwork and has been evidenced to improve patient safety. Nurses in the ICU are the first group to become conscious of changes in patients’ conditions, who can spare patients from injury by collaborating with other medical staff . Higher teamwork attitudes are crucial to providing safe and high-quality patient care, especially in ICU settings where nurses need to handle complex care tasks collaboratively, respond promptly to critical changes in patients’ conditions, and ensure comprehensive and individualized care for critically ill patients. Furthermore, higher teamwork attitudes may predict higher teamwork, which may decrease the intent to leave among nurses, and lead to better workforce development . Thus, preparing ICU nurses’ teamwork attitudes is of high priority. Teamwork is vital to nursing responsibilities and roles and is critical in-patient care and treatment systems. Effective teamwork in the ICU is particularly important for resolving human resource issues, reducing costs, and improving patient health . Grover states that teamwork is essential, especially for nurses in ICUs, where strong communication and management skills are crucial for coping with multiple challenges. 5 Improper nurses’ teamwork has been displayed to increase the frequency of missed care by nurses, which has been considered as indicator of safety and quality. Missed nursing care is well-defined as “any phase of required nursing care that is lost either in entire or part of it or delayed” (</w:t>
      </w:r>
      <w:proofErr w:type="spellStart"/>
      <w:r w:rsidRPr="00203451">
        <w:rPr>
          <w:sz w:val="20"/>
          <w:szCs w:val="20"/>
        </w:rPr>
        <w:t>Celik</w:t>
      </w:r>
      <w:proofErr w:type="spellEnd"/>
      <w:r w:rsidRPr="00203451">
        <w:rPr>
          <w:sz w:val="20"/>
          <w:szCs w:val="20"/>
        </w:rPr>
        <w:t xml:space="preserve"> et al., 2019). The kinds of missed nursing care often stated by the patients consist of ambulation, mouth care, bathing, getting out of bed and explaining procedures for patients. 6n the study conducted by Cho et al., a direct relationship was observed between unfavorable work </w:t>
      </w:r>
      <w:proofErr w:type="spellStart"/>
      <w:r w:rsidRPr="00203451">
        <w:rPr>
          <w:sz w:val="20"/>
          <w:szCs w:val="20"/>
        </w:rPr>
        <w:t>sched</w:t>
      </w:r>
      <w:proofErr w:type="spellEnd"/>
      <w:r w:rsidRPr="00203451">
        <w:rPr>
          <w:sz w:val="20"/>
          <w:szCs w:val="20"/>
        </w:rPr>
        <w:t xml:space="preserve"> </w:t>
      </w:r>
      <w:proofErr w:type="spellStart"/>
      <w:r w:rsidRPr="00203451">
        <w:rPr>
          <w:sz w:val="20"/>
          <w:szCs w:val="20"/>
        </w:rPr>
        <w:t>ules</w:t>
      </w:r>
      <w:proofErr w:type="spellEnd"/>
      <w:r w:rsidRPr="00203451">
        <w:rPr>
          <w:sz w:val="20"/>
          <w:szCs w:val="20"/>
        </w:rPr>
        <w:t xml:space="preserve">, such as long working hours, missed nursing care, and organizational commitment among Korean nurses . Given the adverse outcomes of missed nursing care on nurses, patients, and organizations and the lack of identification of all factors influencing missed nursing care in healthcare settings, it is crucial to identify other contributing factors. Although the significance of teamwork in providing high-quality and safe care is well-known , the Relationship between missed nursing care, workload, and teamwork in various healthcare settings, such as intensive care units, is still unknown. Most previous studies on factors influencing missed nursing care have been con ducted in developed countries, and there is a notable lack of research in developing countries. The work environments in developing countries, such as Iran, differ significantly from those in developed nations, necessitating studies that address these specific contexts . Moreover, research indicates that missed nursing care is a significant issue in Iran’s healthcare system . Therefore, this study examined the relationship between nurse workload, teamwork, and missed nursing care in intensive care units of educational and medical centers in Iran. </w:t>
      </w:r>
    </w:p>
    <w:p w14:paraId="010F062C" w14:textId="77777777" w:rsidR="004939EF" w:rsidRPr="00AD2E06" w:rsidRDefault="004939EF" w:rsidP="004939EF">
      <w:pPr>
        <w:bidi w:val="0"/>
        <w:ind w:left="450" w:right="-540"/>
        <w:jc w:val="both"/>
        <w:rPr>
          <w:sz w:val="14"/>
          <w:szCs w:val="14"/>
        </w:rPr>
      </w:pPr>
    </w:p>
    <w:p w14:paraId="386C756A" w14:textId="77777777" w:rsidR="004939EF" w:rsidRPr="00F55122" w:rsidRDefault="004939EF" w:rsidP="004939EF">
      <w:pPr>
        <w:bidi w:val="0"/>
        <w:ind w:left="450" w:right="-540"/>
        <w:jc w:val="both"/>
        <w:rPr>
          <w:b/>
          <w:bCs/>
          <w:sz w:val="36"/>
          <w:szCs w:val="36"/>
        </w:rPr>
      </w:pPr>
      <w:r w:rsidRPr="00F55122">
        <w:rPr>
          <w:b/>
          <w:bCs/>
          <w:sz w:val="36"/>
          <w:szCs w:val="36"/>
        </w:rPr>
        <w:t>Method</w:t>
      </w:r>
    </w:p>
    <w:p w14:paraId="33E13C86" w14:textId="77777777" w:rsidR="004939EF" w:rsidRDefault="004939EF" w:rsidP="004939EF">
      <w:pPr>
        <w:bidi w:val="0"/>
        <w:ind w:left="450" w:right="-540"/>
        <w:jc w:val="both"/>
        <w:rPr>
          <w:sz w:val="18"/>
          <w:szCs w:val="18"/>
          <w:rtl/>
        </w:rPr>
      </w:pPr>
      <w:r w:rsidRPr="000751A1">
        <w:rPr>
          <w:sz w:val="20"/>
          <w:szCs w:val="20"/>
        </w:rPr>
        <w:t xml:space="preserve">Teamwork on ICU patients in terms of improving patient outcomes. Information databases and article searches were used to collect scientific data through a comprehensive search in databases such as Scopus, PubMed, SID, Google Scholar, </w:t>
      </w:r>
      <w:proofErr w:type="spellStart"/>
      <w:r w:rsidRPr="000751A1">
        <w:rPr>
          <w:sz w:val="20"/>
          <w:szCs w:val="20"/>
        </w:rPr>
        <w:t>Magiran</w:t>
      </w:r>
      <w:proofErr w:type="spellEnd"/>
      <w:r w:rsidRPr="000751A1">
        <w:rPr>
          <w:sz w:val="20"/>
          <w:szCs w:val="20"/>
        </w:rPr>
        <w:t xml:space="preserve">, and </w:t>
      </w:r>
      <w:proofErr w:type="spellStart"/>
      <w:r w:rsidRPr="000751A1">
        <w:rPr>
          <w:sz w:val="20"/>
          <w:szCs w:val="20"/>
        </w:rPr>
        <w:t>NoorMags</w:t>
      </w:r>
      <w:proofErr w:type="spellEnd"/>
      <w:r w:rsidRPr="000751A1">
        <w:rPr>
          <w:sz w:val="20"/>
          <w:szCs w:val="20"/>
        </w:rPr>
        <w:t xml:space="preserve">. Searches were conducted using a combination of keywords such as nursing care, Teamwork, Intensive Care Unit, Improving outcome, and Critically ill Patients. Searches were performed using logical operators like AND </w:t>
      </w:r>
      <w:proofErr w:type="spellStart"/>
      <w:r w:rsidRPr="000751A1">
        <w:rPr>
          <w:sz w:val="20"/>
          <w:szCs w:val="20"/>
        </w:rPr>
        <w:t>and</w:t>
      </w:r>
      <w:proofErr w:type="spellEnd"/>
      <w:r w:rsidRPr="000751A1">
        <w:rPr>
          <w:sz w:val="20"/>
          <w:szCs w:val="20"/>
        </w:rPr>
        <w:t xml:space="preserve"> OR to increase search accuracy. In the first stage, 7,446 articles published between 2020 and 2025 were retrieved. Inclusion and exclusion criteria were applied to select articles. Inclusion criteria: articles published in reputable scientific journals indexed in the mentioned databases, directly related to the topic of teamwork impact on ICU (Intensive Care Unit) nurses and patient improvement; studies with strong scientific evidence and precise statistical analysis; up-to-date research based on new data. Exclusion criteria: articles that are purely descriptive. Teamwork on ICU patients is related to improving patient outcomes in terms of recovery rates. Databases and article searches were conducted to collect scientific data through a comprehensive search in reliable databases such as Scopus, PubMed, SID, Google Scholar, </w:t>
      </w:r>
      <w:proofErr w:type="spellStart"/>
      <w:r w:rsidRPr="000751A1">
        <w:rPr>
          <w:sz w:val="20"/>
          <w:szCs w:val="20"/>
        </w:rPr>
        <w:t>Magiran</w:t>
      </w:r>
      <w:proofErr w:type="spellEnd"/>
      <w:r w:rsidRPr="000751A1">
        <w:rPr>
          <w:sz w:val="20"/>
          <w:szCs w:val="20"/>
        </w:rPr>
        <w:t xml:space="preserve">, and </w:t>
      </w:r>
      <w:proofErr w:type="spellStart"/>
      <w:r w:rsidRPr="000751A1">
        <w:rPr>
          <w:sz w:val="20"/>
          <w:szCs w:val="20"/>
        </w:rPr>
        <w:t>NoorMags</w:t>
      </w:r>
      <w:proofErr w:type="spellEnd"/>
      <w:r w:rsidRPr="000751A1">
        <w:rPr>
          <w:sz w:val="20"/>
          <w:szCs w:val="20"/>
        </w:rPr>
        <w:t xml:space="preserve">. Searches were performed using a combination of keywords like nursing care, teamwork, intensive care unit, improving outcomes, and critically ill patients. Logical operators such as AND </w:t>
      </w:r>
      <w:proofErr w:type="spellStart"/>
      <w:r w:rsidRPr="000751A1">
        <w:rPr>
          <w:sz w:val="20"/>
          <w:szCs w:val="20"/>
        </w:rPr>
        <w:t>and</w:t>
      </w:r>
      <w:proofErr w:type="spellEnd"/>
      <w:r w:rsidRPr="000751A1">
        <w:rPr>
          <w:sz w:val="20"/>
          <w:szCs w:val="20"/>
        </w:rPr>
        <w:t xml:space="preserve"> OR were used to enhance search accuracy. Initially, 7,446 articles published between</w:t>
      </w:r>
      <w:r>
        <w:rPr>
          <w:rFonts w:hint="cs"/>
          <w:sz w:val="20"/>
          <w:szCs w:val="20"/>
          <w:rtl/>
        </w:rPr>
        <w:t xml:space="preserve"> </w:t>
      </w:r>
      <w:r w:rsidRPr="000751A1">
        <w:rPr>
          <w:sz w:val="20"/>
          <w:szCs w:val="20"/>
        </w:rPr>
        <w:t>2020</w:t>
      </w:r>
      <w:r>
        <w:rPr>
          <w:rFonts w:hint="cs"/>
          <w:sz w:val="20"/>
          <w:szCs w:val="20"/>
          <w:rtl/>
        </w:rPr>
        <w:t xml:space="preserve"> </w:t>
      </w:r>
      <w:r w:rsidRPr="000751A1">
        <w:rPr>
          <w:sz w:val="20"/>
          <w:szCs w:val="20"/>
        </w:rPr>
        <w:t xml:space="preserve">and 2025 were retrieved. </w:t>
      </w:r>
      <w:r>
        <w:rPr>
          <w:rFonts w:hint="cs"/>
          <w:sz w:val="20"/>
          <w:szCs w:val="20"/>
          <w:rtl/>
        </w:rPr>
        <w:t xml:space="preserve">                                                  </w:t>
      </w:r>
      <w:r w:rsidRPr="00762167">
        <w:rPr>
          <w:sz w:val="18"/>
          <w:szCs w:val="18"/>
        </w:rPr>
        <w:br/>
      </w:r>
      <w:r w:rsidRPr="00762167">
        <w:rPr>
          <w:sz w:val="18"/>
          <w:szCs w:val="18"/>
        </w:rPr>
        <w:br/>
      </w:r>
      <w:r w:rsidRPr="008B6617">
        <w:rPr>
          <w:b/>
          <w:bCs/>
        </w:rPr>
        <w:t>Criteria for Inclusion and Exclusion of Articles</w:t>
      </w:r>
    </w:p>
    <w:p w14:paraId="62DBBDE4" w14:textId="77777777" w:rsidR="004939EF" w:rsidRDefault="004939EF" w:rsidP="004939EF">
      <w:pPr>
        <w:bidi w:val="0"/>
        <w:ind w:left="450" w:right="-540"/>
        <w:jc w:val="both"/>
        <w:rPr>
          <w:sz w:val="18"/>
          <w:szCs w:val="18"/>
          <w:rtl/>
        </w:rPr>
      </w:pPr>
      <w:r w:rsidRPr="00762167">
        <w:rPr>
          <w:sz w:val="18"/>
          <w:szCs w:val="18"/>
        </w:rPr>
        <w:br/>
      </w:r>
      <w:r w:rsidRPr="000751A1">
        <w:rPr>
          <w:sz w:val="20"/>
          <w:szCs w:val="20"/>
        </w:rPr>
        <w:t>The following criteria were applied to select the articles.</w:t>
      </w:r>
    </w:p>
    <w:p w14:paraId="2310AC2C" w14:textId="77777777" w:rsidR="004939EF" w:rsidRPr="008B6617" w:rsidRDefault="004939EF" w:rsidP="004939EF">
      <w:pPr>
        <w:bidi w:val="0"/>
        <w:ind w:left="450" w:right="-540"/>
        <w:jc w:val="both"/>
        <w:rPr>
          <w:b/>
          <w:bCs/>
          <w:rtl/>
        </w:rPr>
      </w:pPr>
      <w:r w:rsidRPr="008B6617">
        <w:rPr>
          <w:b/>
          <w:bCs/>
        </w:rPr>
        <w:t xml:space="preserve"> Inclusion criteria</w:t>
      </w:r>
      <w:r w:rsidRPr="008B6617">
        <w:rPr>
          <w:rFonts w:hint="cs"/>
          <w:b/>
          <w:bCs/>
          <w:rtl/>
        </w:rPr>
        <w:t>:</w:t>
      </w:r>
    </w:p>
    <w:p w14:paraId="51A9CD61" w14:textId="77777777" w:rsidR="004939EF" w:rsidRPr="000751A1" w:rsidRDefault="004939EF" w:rsidP="004939EF">
      <w:pPr>
        <w:bidi w:val="0"/>
        <w:ind w:left="450" w:right="-540"/>
        <w:jc w:val="both"/>
        <w:rPr>
          <w:sz w:val="20"/>
          <w:szCs w:val="20"/>
          <w:rtl/>
        </w:rPr>
      </w:pPr>
      <w:r w:rsidRPr="000751A1">
        <w:rPr>
          <w:sz w:val="20"/>
          <w:szCs w:val="20"/>
        </w:rPr>
        <w:t xml:space="preserve"> articles published in reputable scientific journals indexed in the aforementioned databases; those directly related to the topic of teamwork and its impact on ICU nurses and patient recovery; studies providing strong scientific evidence and precise statistical analysis; and recent studies based on new data.</w:t>
      </w:r>
    </w:p>
    <w:p w14:paraId="7A38E152" w14:textId="77777777" w:rsidR="004939EF" w:rsidRPr="008B6617" w:rsidRDefault="004939EF" w:rsidP="004939EF">
      <w:pPr>
        <w:bidi w:val="0"/>
        <w:ind w:left="450" w:right="-540"/>
        <w:jc w:val="both"/>
        <w:rPr>
          <w:b/>
          <w:bCs/>
          <w:rtl/>
        </w:rPr>
      </w:pPr>
      <w:r w:rsidRPr="008B6617">
        <w:t xml:space="preserve"> </w:t>
      </w:r>
      <w:r w:rsidRPr="008B6617">
        <w:rPr>
          <w:b/>
          <w:bCs/>
        </w:rPr>
        <w:t>Exclusion criteria:</w:t>
      </w:r>
    </w:p>
    <w:p w14:paraId="498898A0" w14:textId="77777777" w:rsidR="00005DF6" w:rsidRDefault="004939EF" w:rsidP="004939EF">
      <w:pPr>
        <w:bidi w:val="0"/>
        <w:ind w:left="450" w:right="-540"/>
        <w:jc w:val="both"/>
        <w:rPr>
          <w:sz w:val="20"/>
          <w:szCs w:val="20"/>
          <w:rtl/>
        </w:rPr>
      </w:pPr>
      <w:r w:rsidRPr="000751A1">
        <w:rPr>
          <w:sz w:val="20"/>
          <w:szCs w:val="20"/>
        </w:rPr>
        <w:t xml:space="preserve"> articles that were purely descriptive without comprehensive analysis; studies whose sample populations did not match ICU patients; and articles published before 2020 were excluded from the study. Ultimately, after applying filters and reviewing the quality and publication date of the sources, the number of articles was reduced from 7,446 to 200, and then, after a more detailed review and assessment of scientific qua</w:t>
      </w:r>
      <w:r w:rsidR="00005DF6">
        <w:rPr>
          <w:sz w:val="20"/>
          <w:szCs w:val="20"/>
        </w:rPr>
        <w:t>lity, 52 articles were selected</w:t>
      </w:r>
      <w:r w:rsidR="00005DF6">
        <w:rPr>
          <w:rFonts w:hint="cs"/>
          <w:sz w:val="20"/>
          <w:szCs w:val="20"/>
          <w:rtl/>
        </w:rPr>
        <w:t xml:space="preserve"> </w:t>
      </w:r>
      <w:r w:rsidRPr="000751A1">
        <w:rPr>
          <w:sz w:val="20"/>
          <w:szCs w:val="20"/>
        </w:rPr>
        <w:t>for this study.</w:t>
      </w:r>
    </w:p>
    <w:p w14:paraId="7328F3E2" w14:textId="18540094" w:rsidR="004939EF" w:rsidRDefault="004939EF" w:rsidP="00005DF6">
      <w:pPr>
        <w:bidi w:val="0"/>
        <w:ind w:left="450" w:right="-540"/>
        <w:jc w:val="both"/>
        <w:rPr>
          <w:sz w:val="18"/>
          <w:szCs w:val="18"/>
          <w:rtl/>
        </w:rPr>
      </w:pPr>
      <w:r w:rsidRPr="00762167">
        <w:rPr>
          <w:sz w:val="18"/>
          <w:szCs w:val="18"/>
        </w:rPr>
        <w:br/>
      </w:r>
      <w:r w:rsidRPr="008B6617">
        <w:rPr>
          <w:b/>
          <w:bCs/>
        </w:rPr>
        <w:t>Data</w:t>
      </w:r>
      <w:r w:rsidRPr="008B6617">
        <w:rPr>
          <w:rFonts w:hint="cs"/>
          <w:b/>
          <w:bCs/>
          <w:rtl/>
        </w:rPr>
        <w:t xml:space="preserve"> </w:t>
      </w:r>
      <w:r w:rsidRPr="008B6617">
        <w:rPr>
          <w:b/>
          <w:bCs/>
        </w:rPr>
        <w:t>Analysis</w:t>
      </w:r>
      <w:r w:rsidRPr="008B6617">
        <w:rPr>
          <w:rFonts w:hint="cs"/>
          <w:b/>
          <w:bCs/>
          <w:rtl/>
        </w:rPr>
        <w:t xml:space="preserve"> </w:t>
      </w:r>
      <w:r w:rsidRPr="008B6617">
        <w:rPr>
          <w:b/>
          <w:bCs/>
        </w:rPr>
        <w:t>Method</w:t>
      </w:r>
      <w:r w:rsidRPr="008B6617">
        <w:rPr>
          <w:rFonts w:hint="cs"/>
          <w:b/>
          <w:bCs/>
          <w:rtl/>
        </w:rPr>
        <w:t>:</w:t>
      </w:r>
    </w:p>
    <w:p w14:paraId="297318DD" w14:textId="62D44EBB" w:rsidR="004939EF" w:rsidRPr="004939EF" w:rsidRDefault="004939EF" w:rsidP="004939EF">
      <w:pPr>
        <w:bidi w:val="0"/>
        <w:ind w:left="450" w:right="-540"/>
        <w:jc w:val="both"/>
        <w:rPr>
          <w:sz w:val="20"/>
          <w:szCs w:val="20"/>
          <w:rtl/>
        </w:rPr>
      </w:pPr>
      <w:r w:rsidRPr="00762167">
        <w:rPr>
          <w:sz w:val="18"/>
          <w:szCs w:val="18"/>
        </w:rPr>
        <w:br/>
      </w:r>
      <w:r w:rsidRPr="000751A1">
        <w:rPr>
          <w:sz w:val="20"/>
          <w:szCs w:val="20"/>
        </w:rPr>
        <w:t>After selecting the articles, the extracted data were analyzed using qualitative content analysis. The content of the articles was examined and categorized in terms of main topics, key findings, research methods, and limitations of each study, and the findings were presented in thematic categories.</w:t>
      </w:r>
    </w:p>
    <w:p w14:paraId="3F8DA137" w14:textId="77777777" w:rsidR="004939EF" w:rsidRPr="00F55122" w:rsidRDefault="004939EF" w:rsidP="004939EF">
      <w:pPr>
        <w:bidi w:val="0"/>
        <w:ind w:left="450" w:right="-540"/>
        <w:jc w:val="both"/>
        <w:rPr>
          <w:b/>
          <w:bCs/>
          <w:sz w:val="36"/>
          <w:szCs w:val="36"/>
          <w:rtl/>
        </w:rPr>
      </w:pPr>
      <w:r w:rsidRPr="00F55122">
        <w:rPr>
          <w:b/>
          <w:bCs/>
          <w:sz w:val="36"/>
          <w:szCs w:val="36"/>
        </w:rPr>
        <w:t>Finding</w:t>
      </w:r>
    </w:p>
    <w:p w14:paraId="376E8709" w14:textId="77777777" w:rsidR="004939EF" w:rsidRPr="000751A1" w:rsidRDefault="004939EF" w:rsidP="004939EF">
      <w:pPr>
        <w:bidi w:val="0"/>
        <w:ind w:left="450" w:right="-540"/>
        <w:jc w:val="both"/>
        <w:rPr>
          <w:b/>
          <w:bCs/>
          <w:rtl/>
        </w:rPr>
      </w:pPr>
      <w:r w:rsidRPr="000751A1">
        <w:rPr>
          <w:b/>
          <w:bCs/>
        </w:rPr>
        <w:t xml:space="preserve">Conceptualizing Interdisciplinary Teamwork in Critical Care </w:t>
      </w:r>
    </w:p>
    <w:p w14:paraId="263F25C2" w14:textId="77777777" w:rsidR="004939EF" w:rsidRDefault="004939EF" w:rsidP="004939EF">
      <w:pPr>
        <w:bidi w:val="0"/>
        <w:ind w:left="450" w:right="-540"/>
        <w:jc w:val="both"/>
        <w:rPr>
          <w:sz w:val="20"/>
          <w:szCs w:val="20"/>
          <w:rtl/>
        </w:rPr>
      </w:pPr>
      <w:r w:rsidRPr="000751A1">
        <w:rPr>
          <w:sz w:val="20"/>
          <w:szCs w:val="20"/>
        </w:rPr>
        <w:t xml:space="preserve">Interdisciplinary teamwork in critical care is defined as the process whereby healthcare professionals from diverse disciplines work collaboratively to achieve shared patient-centered goals (Alvarez &amp; </w:t>
      </w:r>
      <w:proofErr w:type="spellStart"/>
      <w:r w:rsidRPr="000751A1">
        <w:rPr>
          <w:sz w:val="20"/>
          <w:szCs w:val="20"/>
        </w:rPr>
        <w:t>Coiera</w:t>
      </w:r>
      <w:proofErr w:type="spellEnd"/>
      <w:r w:rsidRPr="000751A1">
        <w:rPr>
          <w:sz w:val="20"/>
          <w:szCs w:val="20"/>
        </w:rPr>
        <w:t xml:space="preserve">, 2021). Unlike multidisciplinary approaches, where professionals contribute in parallel but remain </w:t>
      </w:r>
      <w:proofErr w:type="spellStart"/>
      <w:r w:rsidRPr="000751A1">
        <w:rPr>
          <w:sz w:val="20"/>
          <w:szCs w:val="20"/>
        </w:rPr>
        <w:t>siloed</w:t>
      </w:r>
      <w:proofErr w:type="spellEnd"/>
      <w:r w:rsidRPr="000751A1">
        <w:rPr>
          <w:sz w:val="20"/>
          <w:szCs w:val="20"/>
        </w:rPr>
        <w:t>, interdisciplinary collaboration emphasizes shared decision-making, collective accountability, and integration of expertise (</w:t>
      </w:r>
      <w:proofErr w:type="spellStart"/>
      <w:r w:rsidRPr="000751A1">
        <w:rPr>
          <w:sz w:val="20"/>
          <w:szCs w:val="20"/>
        </w:rPr>
        <w:t>Xyrichis</w:t>
      </w:r>
      <w:proofErr w:type="spellEnd"/>
      <w:r w:rsidRPr="000751A1">
        <w:rPr>
          <w:sz w:val="20"/>
          <w:szCs w:val="20"/>
        </w:rPr>
        <w:t xml:space="preserve"> et al., 2020). In critical care units (CCUs), this collaboration is vital because no single profession can adequately address the multifaceted needs of critically ill patients (</w:t>
      </w:r>
      <w:proofErr w:type="spellStart"/>
      <w:r w:rsidRPr="000751A1">
        <w:rPr>
          <w:sz w:val="20"/>
          <w:szCs w:val="20"/>
        </w:rPr>
        <w:t>Kleinpell</w:t>
      </w:r>
      <w:proofErr w:type="spellEnd"/>
      <w:r w:rsidRPr="000751A1">
        <w:rPr>
          <w:sz w:val="20"/>
          <w:szCs w:val="20"/>
        </w:rPr>
        <w:t xml:space="preserve"> et al., 2022).</w:t>
      </w:r>
      <w:r>
        <w:rPr>
          <w:rFonts w:hint="cs"/>
          <w:sz w:val="20"/>
          <w:szCs w:val="20"/>
          <w:rtl/>
        </w:rPr>
        <w:t xml:space="preserve"> </w:t>
      </w:r>
    </w:p>
    <w:p w14:paraId="5F9853DF" w14:textId="77777777" w:rsidR="004939EF" w:rsidRPr="000751A1" w:rsidRDefault="004939EF" w:rsidP="004939EF">
      <w:pPr>
        <w:bidi w:val="0"/>
        <w:ind w:left="450" w:right="-540"/>
        <w:jc w:val="both"/>
        <w:rPr>
          <w:b/>
          <w:bCs/>
          <w:rtl/>
        </w:rPr>
      </w:pPr>
      <w:r w:rsidRPr="000751A1">
        <w:rPr>
          <w:b/>
          <w:bCs/>
        </w:rPr>
        <w:t>Theoretical Perspectives on Team Dynamics</w:t>
      </w:r>
    </w:p>
    <w:p w14:paraId="71D68E64" w14:textId="77777777" w:rsidR="004939EF" w:rsidRDefault="004939EF" w:rsidP="004939EF">
      <w:pPr>
        <w:bidi w:val="0"/>
        <w:ind w:left="450" w:right="-540"/>
        <w:jc w:val="both"/>
        <w:rPr>
          <w:sz w:val="20"/>
          <w:szCs w:val="20"/>
          <w:rtl/>
        </w:rPr>
      </w:pPr>
      <w:r w:rsidRPr="000751A1">
        <w:rPr>
          <w:sz w:val="20"/>
          <w:szCs w:val="20"/>
        </w:rPr>
        <w:t>Theoretical Perspectives on Team Dynamics Teamwork dynamics in critical care have been examined through multiple theoretical lenses. Social identity theory, for example, posits that professional identity shapes how team members perceive their roles and interact with colleagues, often reinforcing hierarchies (Thomas et al., 2021). Systems theory has also been applied to understand how interdependent roles and feedback loops influence team effectiveness (</w:t>
      </w:r>
      <w:proofErr w:type="spellStart"/>
      <w:r w:rsidRPr="000751A1">
        <w:rPr>
          <w:sz w:val="20"/>
          <w:szCs w:val="20"/>
        </w:rPr>
        <w:t>Manser</w:t>
      </w:r>
      <w:proofErr w:type="spellEnd"/>
      <w:r w:rsidRPr="000751A1">
        <w:rPr>
          <w:sz w:val="20"/>
          <w:szCs w:val="20"/>
        </w:rPr>
        <w:t>, 2022). Another influential framework is the concept of “shared mental models,” which suggests that effective teams develop common understandings of tasks, roles, and goals, enabling seamless coordination (Weller et al., 2020). Conversely, the absence of such shared models contributes to misunderstandings and inefficiencies. The literature underscores that team dynamics are not static but evolve in response to stressors, leadership styles, and organizational culture (Wilson &amp; Pope, 2022).</w:t>
      </w:r>
    </w:p>
    <w:p w14:paraId="4F21803F" w14:textId="77777777" w:rsidR="004939EF" w:rsidRPr="008B6617" w:rsidRDefault="004939EF" w:rsidP="004939EF">
      <w:pPr>
        <w:bidi w:val="0"/>
        <w:ind w:left="450" w:right="-540"/>
        <w:jc w:val="both"/>
        <w:rPr>
          <w:b/>
          <w:bCs/>
          <w:rtl/>
        </w:rPr>
      </w:pPr>
      <w:r w:rsidRPr="008B6617">
        <w:rPr>
          <w:b/>
          <w:bCs/>
        </w:rPr>
        <w:t xml:space="preserve">Avoiding Iatrogenic Harm in the ICU </w:t>
      </w:r>
    </w:p>
    <w:p w14:paraId="5341DCB5" w14:textId="77777777" w:rsidR="004939EF" w:rsidRDefault="004939EF" w:rsidP="004939EF">
      <w:pPr>
        <w:bidi w:val="0"/>
        <w:ind w:left="450" w:right="-540"/>
        <w:jc w:val="both"/>
        <w:rPr>
          <w:sz w:val="20"/>
          <w:szCs w:val="20"/>
          <w:rtl/>
        </w:rPr>
      </w:pPr>
      <w:r w:rsidRPr="008B6617">
        <w:rPr>
          <w:sz w:val="20"/>
          <w:szCs w:val="20"/>
        </w:rPr>
        <w:t>Admission to an ICU places patients at risk for complications in their care. A recent Scientific Statement from the American Heart Association addresses prevention of complications in the cardiac ICU.64 Strategies to reduce ICU complications are broadly and equally applicable to patients with HF; however, the impact and importance of some complications are distinct. In this section, we highlight certain of these complications that have particular and unique impacts on patients with HF.</w:t>
      </w:r>
    </w:p>
    <w:p w14:paraId="20BCF435" w14:textId="77777777" w:rsidR="004939EF" w:rsidRPr="008B6617" w:rsidRDefault="004939EF" w:rsidP="004939EF">
      <w:pPr>
        <w:bidi w:val="0"/>
        <w:ind w:left="450" w:right="-540"/>
        <w:jc w:val="both"/>
        <w:rPr>
          <w:b/>
          <w:bCs/>
          <w:rtl/>
        </w:rPr>
      </w:pPr>
      <w:r w:rsidRPr="008B6617">
        <w:rPr>
          <w:b/>
          <w:bCs/>
        </w:rPr>
        <w:t>Collaborative Work</w:t>
      </w:r>
    </w:p>
    <w:p w14:paraId="0BF150AD" w14:textId="77777777" w:rsidR="004939EF" w:rsidRDefault="004939EF" w:rsidP="004939EF">
      <w:pPr>
        <w:bidi w:val="0"/>
        <w:ind w:left="450" w:right="-540"/>
        <w:jc w:val="both"/>
        <w:rPr>
          <w:sz w:val="20"/>
          <w:szCs w:val="20"/>
          <w:rtl/>
        </w:rPr>
      </w:pPr>
      <w:r w:rsidRPr="008B6617">
        <w:rPr>
          <w:sz w:val="20"/>
          <w:szCs w:val="20"/>
        </w:rPr>
        <w:t xml:space="preserve">Collaborative Work Effective collaboration between nurses and other healthcare professionals is a </w:t>
      </w:r>
      <w:proofErr w:type="spellStart"/>
      <w:r w:rsidRPr="008B6617">
        <w:rPr>
          <w:sz w:val="20"/>
          <w:szCs w:val="20"/>
        </w:rPr>
        <w:t>cor</w:t>
      </w:r>
      <w:proofErr w:type="spellEnd"/>
      <w:r w:rsidRPr="008B6617">
        <w:rPr>
          <w:sz w:val="20"/>
          <w:szCs w:val="20"/>
        </w:rPr>
        <w:t xml:space="preserve"> </w:t>
      </w:r>
      <w:proofErr w:type="spellStart"/>
      <w:r w:rsidRPr="008B6617">
        <w:rPr>
          <w:sz w:val="20"/>
          <w:szCs w:val="20"/>
        </w:rPr>
        <w:t>nerstone</w:t>
      </w:r>
      <w:proofErr w:type="spellEnd"/>
      <w:r w:rsidRPr="008B6617">
        <w:rPr>
          <w:sz w:val="20"/>
          <w:szCs w:val="20"/>
        </w:rPr>
        <w:t xml:space="preserve"> of a ‘Positive Nursing Practice Environment’. Such an environment, in turn, fosters collaborative work </w:t>
      </w:r>
      <w:r>
        <w:rPr>
          <w:rFonts w:hint="cs"/>
          <w:sz w:val="20"/>
          <w:szCs w:val="20"/>
          <w:rtl/>
        </w:rPr>
        <w:t>.</w:t>
      </w:r>
      <w:r w:rsidRPr="008B6617">
        <w:rPr>
          <w:sz w:val="20"/>
          <w:szCs w:val="20"/>
        </w:rPr>
        <w:t xml:space="preserve">This collaboration is characterized by open </w:t>
      </w:r>
      <w:proofErr w:type="spellStart"/>
      <w:r w:rsidRPr="008B6617">
        <w:rPr>
          <w:sz w:val="20"/>
          <w:szCs w:val="20"/>
        </w:rPr>
        <w:t>communica</w:t>
      </w:r>
      <w:proofErr w:type="spellEnd"/>
      <w:r w:rsidRPr="008B6617">
        <w:rPr>
          <w:sz w:val="20"/>
          <w:szCs w:val="20"/>
        </w:rPr>
        <w:t xml:space="preserve"> Effective collaboration between nurses and other healthcare professionals is a corner stone of a ‘Positive Nursing Practice Environment’. Such an environment, in turn, fosters collaborative work</w:t>
      </w:r>
      <w:r>
        <w:rPr>
          <w:rFonts w:hint="cs"/>
          <w:sz w:val="20"/>
          <w:szCs w:val="20"/>
          <w:rtl/>
        </w:rPr>
        <w:t xml:space="preserve">. </w:t>
      </w:r>
      <w:r w:rsidRPr="008B6617">
        <w:rPr>
          <w:sz w:val="20"/>
          <w:szCs w:val="20"/>
        </w:rPr>
        <w:t xml:space="preserve">This collaboration is characterized by open communication, teamwork, mutual respect, shared responsibility, trust, recognition of roles, shared re sources, and support, allowing each professional to be heard and respected </w:t>
      </w:r>
      <w:r>
        <w:rPr>
          <w:rFonts w:hint="cs"/>
          <w:sz w:val="20"/>
          <w:szCs w:val="20"/>
          <w:rtl/>
        </w:rPr>
        <w:t>.</w:t>
      </w:r>
      <w:r w:rsidRPr="008B6617">
        <w:rPr>
          <w:sz w:val="20"/>
          <w:szCs w:val="20"/>
        </w:rPr>
        <w:t xml:space="preserve">Collegial relationships and collaboration are also linked to lower levels of burnout and fewer medication errors. For instance, </w:t>
      </w:r>
      <w:proofErr w:type="spellStart"/>
      <w:r w:rsidRPr="008B6617">
        <w:rPr>
          <w:sz w:val="20"/>
          <w:szCs w:val="20"/>
        </w:rPr>
        <w:t>Poghosyan</w:t>
      </w:r>
      <w:proofErr w:type="spellEnd"/>
      <w:r w:rsidRPr="008B6617">
        <w:rPr>
          <w:sz w:val="20"/>
          <w:szCs w:val="20"/>
        </w:rPr>
        <w:t xml:space="preserve"> et al. found that a positive work environment and strong collegial relationships improved chronic illness manage </w:t>
      </w:r>
      <w:proofErr w:type="spellStart"/>
      <w:r w:rsidRPr="008B6617">
        <w:rPr>
          <w:sz w:val="20"/>
          <w:szCs w:val="20"/>
        </w:rPr>
        <w:t>ment</w:t>
      </w:r>
      <w:proofErr w:type="spellEnd"/>
      <w:r w:rsidRPr="008B6617">
        <w:rPr>
          <w:sz w:val="20"/>
          <w:szCs w:val="20"/>
        </w:rPr>
        <w:t xml:space="preserve">, reducing emergency department visits and hospitalizations. </w:t>
      </w:r>
      <w:proofErr w:type="spellStart"/>
      <w:r w:rsidRPr="008B6617">
        <w:rPr>
          <w:sz w:val="20"/>
          <w:szCs w:val="20"/>
        </w:rPr>
        <w:t>tion</w:t>
      </w:r>
      <w:proofErr w:type="spellEnd"/>
      <w:r w:rsidRPr="008B6617">
        <w:rPr>
          <w:sz w:val="20"/>
          <w:szCs w:val="20"/>
        </w:rPr>
        <w:t xml:space="preserve">, teamwork, mutual respect, shared responsibility, trust, recognition of roles, shared resources, and support, allowing each professional to be heard and respected </w:t>
      </w:r>
      <w:r>
        <w:rPr>
          <w:rFonts w:hint="cs"/>
          <w:sz w:val="20"/>
          <w:szCs w:val="20"/>
          <w:rtl/>
        </w:rPr>
        <w:t>.</w:t>
      </w:r>
      <w:r w:rsidRPr="008B6617">
        <w:rPr>
          <w:sz w:val="20"/>
          <w:szCs w:val="20"/>
        </w:rPr>
        <w:t xml:space="preserve">Collegial relationships and collaboration are also linked to lower levels of burnout and fewer medication errors. For instance, </w:t>
      </w:r>
      <w:proofErr w:type="spellStart"/>
      <w:r w:rsidRPr="008B6617">
        <w:rPr>
          <w:sz w:val="20"/>
          <w:szCs w:val="20"/>
        </w:rPr>
        <w:t>Poghosyan</w:t>
      </w:r>
      <w:proofErr w:type="spellEnd"/>
      <w:r w:rsidRPr="008B6617">
        <w:rPr>
          <w:sz w:val="20"/>
          <w:szCs w:val="20"/>
        </w:rPr>
        <w:t xml:space="preserve"> et al. </w:t>
      </w:r>
      <w:r>
        <w:rPr>
          <w:rFonts w:hint="cs"/>
          <w:sz w:val="20"/>
          <w:szCs w:val="20"/>
          <w:rtl/>
        </w:rPr>
        <w:t xml:space="preserve"> </w:t>
      </w:r>
      <w:r w:rsidRPr="008B6617">
        <w:rPr>
          <w:sz w:val="20"/>
          <w:szCs w:val="20"/>
        </w:rPr>
        <w:t>found that a positive work environment and strong collegial relationships improved chronic illness management, reducing emergency department visits and hospitalizations.</w:t>
      </w:r>
    </w:p>
    <w:p w14:paraId="6CA58F1B" w14:textId="77777777" w:rsidR="004939EF" w:rsidRDefault="004939EF" w:rsidP="004939EF">
      <w:pPr>
        <w:bidi w:val="0"/>
        <w:ind w:left="450" w:right="-540"/>
        <w:jc w:val="both"/>
        <w:rPr>
          <w:b/>
          <w:bCs/>
          <w:rtl/>
        </w:rPr>
      </w:pPr>
    </w:p>
    <w:p w14:paraId="266FF4BF" w14:textId="77777777" w:rsidR="004939EF" w:rsidRPr="008B6617" w:rsidRDefault="004939EF" w:rsidP="004939EF">
      <w:pPr>
        <w:bidi w:val="0"/>
        <w:ind w:left="450" w:right="-540"/>
        <w:jc w:val="both"/>
        <w:rPr>
          <w:b/>
          <w:bCs/>
          <w:rtl/>
        </w:rPr>
      </w:pPr>
      <w:r w:rsidRPr="008B6617">
        <w:rPr>
          <w:b/>
          <w:bCs/>
        </w:rPr>
        <w:t>Positive nursing practice environment</w:t>
      </w:r>
    </w:p>
    <w:p w14:paraId="300D19A1" w14:textId="77777777" w:rsidR="004939EF" w:rsidRDefault="004939EF" w:rsidP="004939EF">
      <w:pPr>
        <w:bidi w:val="0"/>
        <w:ind w:left="450" w:right="-540"/>
        <w:jc w:val="both"/>
        <w:rPr>
          <w:sz w:val="20"/>
          <w:szCs w:val="20"/>
          <w:rtl/>
        </w:rPr>
      </w:pPr>
      <w:r w:rsidRPr="008B6617">
        <w:rPr>
          <w:sz w:val="20"/>
          <w:szCs w:val="20"/>
        </w:rPr>
        <w:t>Evidence-Based Practice Access to information, resources, and support is vital for fostering evidence-based practice, which enhances self-efficacy, job satisfaction, and professional success A ‘Positive Nursing Practice Environment’ encourages the use of the latest scientific evidence to inform decisions, promoting teamwork, care quality, and the retention of qualified professionals. Nursing leaders play a critical role in facilitating the adoption of evidence-based practices</w:t>
      </w:r>
      <w:r>
        <w:rPr>
          <w:rFonts w:hint="cs"/>
          <w:sz w:val="20"/>
          <w:szCs w:val="20"/>
          <w:rtl/>
        </w:rPr>
        <w:t>.</w:t>
      </w:r>
    </w:p>
    <w:p w14:paraId="019D11F4" w14:textId="77777777" w:rsidR="004939EF" w:rsidRPr="008B6617" w:rsidRDefault="004939EF" w:rsidP="004939EF">
      <w:pPr>
        <w:bidi w:val="0"/>
        <w:ind w:left="450" w:right="-540"/>
        <w:jc w:val="both"/>
        <w:rPr>
          <w:b/>
          <w:bCs/>
          <w:rtl/>
        </w:rPr>
      </w:pPr>
      <w:r w:rsidRPr="008B6617">
        <w:rPr>
          <w:b/>
          <w:bCs/>
        </w:rPr>
        <w:t>Possible Complications and Diseases</w:t>
      </w:r>
    </w:p>
    <w:p w14:paraId="01C676AA" w14:textId="77777777" w:rsidR="004939EF" w:rsidRDefault="004939EF" w:rsidP="004939EF">
      <w:pPr>
        <w:bidi w:val="0"/>
        <w:ind w:left="450" w:right="-540"/>
        <w:jc w:val="both"/>
        <w:rPr>
          <w:sz w:val="20"/>
          <w:szCs w:val="20"/>
          <w:rtl/>
        </w:rPr>
      </w:pPr>
      <w:r w:rsidRPr="008B6617">
        <w:rPr>
          <w:sz w:val="20"/>
          <w:szCs w:val="20"/>
        </w:rPr>
        <w:t xml:space="preserve">Muscle atrophy and weakness represent significant challenges encountered by critically ill patients in the ICU. ICUAW is a prevalent condition among critically ill individuals, affecting up to 80% of patients. It can result in prolonged disability extending far beyond the ICU stay. ICUAW manifests as muscle wasting, compromised contractility, neuropathy, and dysregulation of pathways involved in muscle protein degradation, such as the ubiquitin-proteasome system . Notably, the preferential loss of myosin is a distinguishing characteristic of this condition. Risk factors contributing to ICUAW include inflammation, the administration of steroids, and immobilization through paralysis, underscoring the critical importance of early rehabilitation interventions in mitigating these declines in muscle function. Research indicates that daily rates of muscle atrophy in key muscle groups such as the rectus </w:t>
      </w:r>
      <w:proofErr w:type="spellStart"/>
      <w:r w:rsidRPr="008B6617">
        <w:rPr>
          <w:sz w:val="20"/>
          <w:szCs w:val="20"/>
        </w:rPr>
        <w:t>femoris</w:t>
      </w:r>
      <w:proofErr w:type="spellEnd"/>
      <w:r w:rsidRPr="008B6617">
        <w:rPr>
          <w:sz w:val="20"/>
          <w:szCs w:val="20"/>
        </w:rPr>
        <w:t xml:space="preserve"> and </w:t>
      </w:r>
      <w:proofErr w:type="spellStart"/>
      <w:r w:rsidRPr="008B6617">
        <w:rPr>
          <w:sz w:val="20"/>
          <w:szCs w:val="20"/>
        </w:rPr>
        <w:t>vastus</w:t>
      </w:r>
      <w:proofErr w:type="spellEnd"/>
      <w:r w:rsidRPr="008B6617">
        <w:rPr>
          <w:sz w:val="20"/>
          <w:szCs w:val="20"/>
        </w:rPr>
        <w:t xml:space="preserve"> </w:t>
      </w:r>
      <w:proofErr w:type="spellStart"/>
      <w:r w:rsidRPr="008B6617">
        <w:rPr>
          <w:sz w:val="20"/>
          <w:szCs w:val="20"/>
        </w:rPr>
        <w:t>intermedius</w:t>
      </w:r>
      <w:proofErr w:type="spellEnd"/>
      <w:r w:rsidRPr="008B6617">
        <w:rPr>
          <w:sz w:val="20"/>
          <w:szCs w:val="20"/>
        </w:rPr>
        <w:t xml:space="preserve"> can be alarmingly high, reaching up to 0.84% and 0.98%, respectively. Furthermore, gender disparities do exist, with women experiencing approximately three times higher rates of muscle atrophy compared to men </w:t>
      </w:r>
      <w:r>
        <w:rPr>
          <w:rFonts w:hint="cs"/>
          <w:sz w:val="20"/>
          <w:szCs w:val="20"/>
          <w:rtl/>
        </w:rPr>
        <w:t>.</w:t>
      </w:r>
      <w:r w:rsidRPr="008B6617">
        <w:rPr>
          <w:sz w:val="20"/>
          <w:szCs w:val="20"/>
        </w:rPr>
        <w:t>A comprehensive understanding of the mechanisms underlying muscle atrophy and weakness in critically ill patients is imperative for developing effective interventions to prevent and manage these conditions. Ultimately, such interventions promise to improve patient outcomes and significantly enhance overall quality of life.</w:t>
      </w:r>
      <w:r w:rsidRPr="008B6617">
        <w:t xml:space="preserve"> </w:t>
      </w:r>
      <w:r w:rsidRPr="008B6617">
        <w:rPr>
          <w:sz w:val="20"/>
          <w:szCs w:val="20"/>
        </w:rPr>
        <w:t>Prolonged immobility in ICU patients can take a profound toll on their psychological well-being, precipitating conditions such as depression, anxiety, cognitive impairments, and PTSD. Research indicates that as many as 80% of critically ill patients in the ICU develop neuromuscular dysfunction or ICU delirium, both of which are closely linked to unfavorable outcomes</w:t>
      </w:r>
      <w:r>
        <w:rPr>
          <w:rFonts w:hint="cs"/>
          <w:sz w:val="20"/>
          <w:szCs w:val="20"/>
          <w:rtl/>
        </w:rPr>
        <w:t xml:space="preserve"> .</w:t>
      </w:r>
      <w:r w:rsidRPr="008B6617">
        <w:rPr>
          <w:sz w:val="20"/>
          <w:szCs w:val="20"/>
        </w:rPr>
        <w:t xml:space="preserve">Moreover, survivors of critical illness often grapple with moderate to severe depression and anxiety persisting for up to two years post-discharge, with depression rates surpassing those observed in the general population </w:t>
      </w:r>
      <w:r>
        <w:rPr>
          <w:rFonts w:hint="cs"/>
          <w:sz w:val="20"/>
          <w:szCs w:val="20"/>
          <w:rtl/>
        </w:rPr>
        <w:t>.</w:t>
      </w:r>
      <w:r w:rsidRPr="008B6617">
        <w:rPr>
          <w:sz w:val="20"/>
          <w:szCs w:val="20"/>
        </w:rPr>
        <w:t xml:space="preserve">Cognitive impairments, although frequently overlooked, can persist over the long term, significantly impacting the quality of life for ICU survivors </w:t>
      </w:r>
      <w:r>
        <w:rPr>
          <w:rFonts w:hint="cs"/>
          <w:sz w:val="20"/>
          <w:szCs w:val="20"/>
          <w:rtl/>
        </w:rPr>
        <w:t xml:space="preserve">. </w:t>
      </w:r>
      <w:r w:rsidRPr="008B6617">
        <w:rPr>
          <w:sz w:val="20"/>
          <w:szCs w:val="20"/>
        </w:rPr>
        <w:t>Furthermore, the psychological ramifications following critical illness, collectively referred to as PICS, encompass a spectrum of physical, mental, and cognitive challenges. Depression and symptoms of PTSD constitute pivotal components of psychological PICS and are pivotal factors associated with patient reported unacceptable outcomes</w:t>
      </w:r>
      <w:r>
        <w:rPr>
          <w:rFonts w:hint="cs"/>
          <w:sz w:val="20"/>
          <w:szCs w:val="20"/>
          <w:rtl/>
        </w:rPr>
        <w:t xml:space="preserve">. </w:t>
      </w:r>
      <w:r w:rsidRPr="008B6617">
        <w:rPr>
          <w:sz w:val="20"/>
          <w:szCs w:val="20"/>
        </w:rPr>
        <w:t xml:space="preserve">These psychological </w:t>
      </w:r>
      <w:proofErr w:type="spellStart"/>
      <w:r w:rsidRPr="008B6617">
        <w:rPr>
          <w:sz w:val="20"/>
          <w:szCs w:val="20"/>
        </w:rPr>
        <w:t>sequelae</w:t>
      </w:r>
      <w:proofErr w:type="spellEnd"/>
      <w:r w:rsidRPr="008B6617">
        <w:rPr>
          <w:sz w:val="20"/>
          <w:szCs w:val="20"/>
        </w:rPr>
        <w:t xml:space="preserve"> have been documented to endure for up to five years post-ICU discharge, underscoring the imperative of addressing and managing these psychological burdens to bolster the quality of life for ICU survivors</w:t>
      </w:r>
    </w:p>
    <w:p w14:paraId="35C31401" w14:textId="77777777" w:rsidR="004939EF" w:rsidRPr="008B6617" w:rsidRDefault="004939EF" w:rsidP="004939EF">
      <w:pPr>
        <w:bidi w:val="0"/>
        <w:ind w:left="450" w:right="-540"/>
        <w:jc w:val="both"/>
        <w:rPr>
          <w:sz w:val="20"/>
          <w:szCs w:val="20"/>
        </w:rPr>
      </w:pPr>
    </w:p>
    <w:p w14:paraId="00EF3561" w14:textId="77777777" w:rsidR="004939EF" w:rsidRPr="00F55122" w:rsidRDefault="004939EF" w:rsidP="004939EF">
      <w:pPr>
        <w:bidi w:val="0"/>
        <w:ind w:left="450" w:right="-540"/>
        <w:jc w:val="both"/>
        <w:rPr>
          <w:b/>
          <w:bCs/>
          <w:sz w:val="36"/>
          <w:szCs w:val="36"/>
          <w:rtl/>
        </w:rPr>
      </w:pPr>
      <w:r w:rsidRPr="00F55122">
        <w:rPr>
          <w:b/>
          <w:bCs/>
          <w:sz w:val="36"/>
          <w:szCs w:val="36"/>
        </w:rPr>
        <w:t>Conclusion</w:t>
      </w:r>
    </w:p>
    <w:p w14:paraId="6E8231D2" w14:textId="6123B77F" w:rsidR="00020B35" w:rsidRDefault="004939EF" w:rsidP="00005DF6">
      <w:pPr>
        <w:bidi w:val="0"/>
        <w:ind w:left="450" w:right="-540"/>
        <w:jc w:val="both"/>
        <w:rPr>
          <w:sz w:val="20"/>
          <w:szCs w:val="20"/>
        </w:rPr>
      </w:pPr>
      <w:r w:rsidRPr="007B3BED">
        <w:rPr>
          <w:sz w:val="20"/>
          <w:szCs w:val="20"/>
        </w:rPr>
        <w:t xml:space="preserve">We conclude that teamwork is defined as a set of thoughts, actions, and emotions of each team member related to what is necessary for functioning as a team </w:t>
      </w:r>
      <w:r>
        <w:rPr>
          <w:rFonts w:hint="cs"/>
          <w:sz w:val="20"/>
          <w:szCs w:val="20"/>
          <w:rtl/>
        </w:rPr>
        <w:t>.</w:t>
      </w:r>
      <w:r w:rsidRPr="007B3BED">
        <w:rPr>
          <w:sz w:val="20"/>
          <w:szCs w:val="20"/>
        </w:rPr>
        <w:t xml:space="preserve">Effective teamwork may reduce information errors at the bedside, correct data misunderstandings, and promote effective communication </w:t>
      </w:r>
      <w:r>
        <w:rPr>
          <w:rFonts w:hint="cs"/>
          <w:sz w:val="20"/>
          <w:szCs w:val="20"/>
          <w:rtl/>
        </w:rPr>
        <w:t>.</w:t>
      </w:r>
      <w:bookmarkStart w:id="0" w:name="_Hlk215839798"/>
      <w:bookmarkEnd w:id="0"/>
    </w:p>
    <w:p w14:paraId="32435BB4" w14:textId="5F4D7F9A" w:rsidR="00005DF6" w:rsidRDefault="00005DF6" w:rsidP="00005DF6">
      <w:pPr>
        <w:bidi w:val="0"/>
        <w:ind w:left="450" w:right="-540"/>
        <w:jc w:val="both"/>
        <w:rPr>
          <w:sz w:val="20"/>
          <w:szCs w:val="20"/>
        </w:rPr>
      </w:pPr>
    </w:p>
    <w:p w14:paraId="3B250EE9" w14:textId="676AB81C" w:rsidR="00005DF6" w:rsidRDefault="00005DF6" w:rsidP="00005DF6">
      <w:pPr>
        <w:bidi w:val="0"/>
        <w:ind w:left="450" w:right="-540"/>
        <w:jc w:val="both"/>
        <w:rPr>
          <w:b/>
          <w:bCs/>
          <w:sz w:val="36"/>
          <w:szCs w:val="36"/>
        </w:rPr>
      </w:pPr>
      <w:proofErr w:type="spellStart"/>
      <w:r w:rsidRPr="00005DF6">
        <w:rPr>
          <w:b/>
          <w:bCs/>
          <w:sz w:val="36"/>
          <w:szCs w:val="36"/>
        </w:rPr>
        <w:t>Refrences</w:t>
      </w:r>
      <w:proofErr w:type="spellEnd"/>
      <w:r w:rsidRPr="00005DF6">
        <w:rPr>
          <w:b/>
          <w:bCs/>
          <w:sz w:val="36"/>
          <w:szCs w:val="36"/>
        </w:rPr>
        <w:t xml:space="preserve"> </w:t>
      </w:r>
    </w:p>
    <w:p w14:paraId="553CEDC2" w14:textId="77777777" w:rsidR="00005DF6" w:rsidRPr="00005DF6" w:rsidRDefault="00005DF6" w:rsidP="00005DF6">
      <w:pPr>
        <w:bidi w:val="0"/>
        <w:spacing w:before="100" w:beforeAutospacing="1" w:after="100" w:afterAutospacing="1" w:line="240" w:lineRule="auto"/>
        <w:rPr>
          <w:rFonts w:ascii="Times New Roman" w:eastAsia="Times New Roman" w:hAnsi="Times New Roman" w:cs="Times New Roman"/>
          <w:sz w:val="24"/>
          <w:szCs w:val="24"/>
          <w:lang w:bidi="ar-SA"/>
        </w:rPr>
      </w:pPr>
      <w:r w:rsidRPr="00005DF6">
        <w:rPr>
          <w:rFonts w:ascii="Times New Roman" w:eastAsia="Times New Roman" w:hAnsi="Symbol" w:cs="Times New Roman"/>
          <w:sz w:val="24"/>
          <w:szCs w:val="24"/>
          <w:lang w:bidi="ar-SA"/>
        </w:rPr>
        <w:t></w:t>
      </w:r>
      <w:r w:rsidRPr="00005DF6">
        <w:rPr>
          <w:rFonts w:ascii="Times New Roman" w:eastAsia="Times New Roman" w:hAnsi="Times New Roman" w:cs="Times New Roman"/>
          <w:sz w:val="24"/>
          <w:szCs w:val="24"/>
          <w:lang w:bidi="ar-SA"/>
        </w:rPr>
        <w:t xml:space="preserve">  Alvarez G, </w:t>
      </w:r>
      <w:proofErr w:type="spellStart"/>
      <w:r w:rsidRPr="00005DF6">
        <w:rPr>
          <w:rFonts w:ascii="Times New Roman" w:eastAsia="Times New Roman" w:hAnsi="Times New Roman" w:cs="Times New Roman"/>
          <w:sz w:val="24"/>
          <w:szCs w:val="24"/>
          <w:lang w:bidi="ar-SA"/>
        </w:rPr>
        <w:t>Coiera</w:t>
      </w:r>
      <w:proofErr w:type="spellEnd"/>
      <w:r w:rsidRPr="00005DF6">
        <w:rPr>
          <w:rFonts w:ascii="Times New Roman" w:eastAsia="Times New Roman" w:hAnsi="Times New Roman" w:cs="Times New Roman"/>
          <w:sz w:val="24"/>
          <w:szCs w:val="24"/>
          <w:lang w:bidi="ar-SA"/>
        </w:rPr>
        <w:t xml:space="preserve"> E. Interruptive communication patterns in the intensive care unit. </w:t>
      </w:r>
      <w:proofErr w:type="spellStart"/>
      <w:r w:rsidRPr="00005DF6">
        <w:rPr>
          <w:rFonts w:ascii="Times New Roman" w:eastAsia="Times New Roman" w:hAnsi="Times New Roman" w:cs="Times New Roman"/>
          <w:sz w:val="24"/>
          <w:szCs w:val="24"/>
          <w:lang w:bidi="ar-SA"/>
        </w:rPr>
        <w:t>Crit</w:t>
      </w:r>
      <w:proofErr w:type="spellEnd"/>
      <w:r w:rsidRPr="00005DF6">
        <w:rPr>
          <w:rFonts w:ascii="Times New Roman" w:eastAsia="Times New Roman" w:hAnsi="Times New Roman" w:cs="Times New Roman"/>
          <w:sz w:val="24"/>
          <w:szCs w:val="24"/>
          <w:lang w:bidi="ar-SA"/>
        </w:rPr>
        <w:t xml:space="preserve"> Care. 2005;9(4):R350–R356.</w:t>
      </w:r>
    </w:p>
    <w:p w14:paraId="1D7A02EC" w14:textId="77777777" w:rsidR="00005DF6" w:rsidRPr="00005DF6" w:rsidRDefault="00005DF6" w:rsidP="00005DF6">
      <w:pPr>
        <w:bidi w:val="0"/>
        <w:spacing w:before="100" w:beforeAutospacing="1" w:after="100" w:afterAutospacing="1" w:line="240" w:lineRule="auto"/>
        <w:rPr>
          <w:rFonts w:ascii="Times New Roman" w:eastAsia="Times New Roman" w:hAnsi="Times New Roman" w:cs="Times New Roman"/>
          <w:sz w:val="24"/>
          <w:szCs w:val="24"/>
          <w:lang w:bidi="ar-SA"/>
        </w:rPr>
      </w:pPr>
      <w:r w:rsidRPr="00005DF6">
        <w:rPr>
          <w:rFonts w:ascii="Times New Roman" w:eastAsia="Times New Roman" w:hAnsi="Symbol" w:cs="Times New Roman"/>
          <w:sz w:val="24"/>
          <w:szCs w:val="24"/>
          <w:lang w:bidi="ar-SA"/>
        </w:rPr>
        <w:t></w:t>
      </w:r>
      <w:r w:rsidRPr="00005DF6">
        <w:rPr>
          <w:rFonts w:ascii="Times New Roman" w:eastAsia="Times New Roman" w:hAnsi="Times New Roman" w:cs="Times New Roman"/>
          <w:sz w:val="24"/>
          <w:szCs w:val="24"/>
          <w:lang w:bidi="ar-SA"/>
        </w:rPr>
        <w:t xml:space="preserve">  </w:t>
      </w:r>
      <w:proofErr w:type="spellStart"/>
      <w:r w:rsidRPr="00005DF6">
        <w:rPr>
          <w:rFonts w:ascii="Times New Roman" w:eastAsia="Times New Roman" w:hAnsi="Times New Roman" w:cs="Times New Roman"/>
          <w:sz w:val="24"/>
          <w:szCs w:val="24"/>
          <w:lang w:bidi="ar-SA"/>
        </w:rPr>
        <w:t>Xyrichis</w:t>
      </w:r>
      <w:proofErr w:type="spellEnd"/>
      <w:r w:rsidRPr="00005DF6">
        <w:rPr>
          <w:rFonts w:ascii="Times New Roman" w:eastAsia="Times New Roman" w:hAnsi="Times New Roman" w:cs="Times New Roman"/>
          <w:sz w:val="24"/>
          <w:szCs w:val="24"/>
          <w:lang w:bidi="ar-SA"/>
        </w:rPr>
        <w:t xml:space="preserve"> A, Rose D. </w:t>
      </w:r>
      <w:proofErr w:type="spellStart"/>
      <w:r w:rsidRPr="00005DF6">
        <w:rPr>
          <w:rFonts w:ascii="Times New Roman" w:eastAsia="Times New Roman" w:hAnsi="Times New Roman" w:cs="Times New Roman"/>
          <w:sz w:val="24"/>
          <w:szCs w:val="24"/>
          <w:lang w:bidi="ar-SA"/>
        </w:rPr>
        <w:t>Interprofessional</w:t>
      </w:r>
      <w:proofErr w:type="spellEnd"/>
      <w:r w:rsidRPr="00005DF6">
        <w:rPr>
          <w:rFonts w:ascii="Times New Roman" w:eastAsia="Times New Roman" w:hAnsi="Times New Roman" w:cs="Times New Roman"/>
          <w:sz w:val="24"/>
          <w:szCs w:val="24"/>
          <w:lang w:bidi="ar-SA"/>
        </w:rPr>
        <w:t xml:space="preserve"> working during the COVID-19 pandemic: sociological insights. J </w:t>
      </w:r>
      <w:proofErr w:type="spellStart"/>
      <w:r w:rsidRPr="00005DF6">
        <w:rPr>
          <w:rFonts w:ascii="Times New Roman" w:eastAsia="Times New Roman" w:hAnsi="Times New Roman" w:cs="Times New Roman"/>
          <w:sz w:val="24"/>
          <w:szCs w:val="24"/>
          <w:lang w:bidi="ar-SA"/>
        </w:rPr>
        <w:t>Interprof</w:t>
      </w:r>
      <w:proofErr w:type="spellEnd"/>
      <w:r w:rsidRPr="00005DF6">
        <w:rPr>
          <w:rFonts w:ascii="Times New Roman" w:eastAsia="Times New Roman" w:hAnsi="Times New Roman" w:cs="Times New Roman"/>
          <w:sz w:val="24"/>
          <w:szCs w:val="24"/>
          <w:lang w:bidi="ar-SA"/>
        </w:rPr>
        <w:t xml:space="preserve"> Care. 2020;34(5):1–8.</w:t>
      </w:r>
    </w:p>
    <w:p w14:paraId="6CCECA3C" w14:textId="77777777" w:rsidR="00005DF6" w:rsidRPr="00005DF6" w:rsidRDefault="00005DF6" w:rsidP="00005DF6">
      <w:pPr>
        <w:bidi w:val="0"/>
        <w:spacing w:before="100" w:beforeAutospacing="1" w:after="100" w:afterAutospacing="1" w:line="240" w:lineRule="auto"/>
        <w:rPr>
          <w:rFonts w:ascii="Times New Roman" w:eastAsia="Times New Roman" w:hAnsi="Times New Roman" w:cs="Times New Roman"/>
          <w:sz w:val="24"/>
          <w:szCs w:val="24"/>
          <w:lang w:bidi="ar-SA"/>
        </w:rPr>
      </w:pPr>
      <w:r w:rsidRPr="00005DF6">
        <w:rPr>
          <w:rFonts w:ascii="Times New Roman" w:eastAsia="Times New Roman" w:hAnsi="Symbol" w:cs="Times New Roman"/>
          <w:sz w:val="24"/>
          <w:szCs w:val="24"/>
          <w:lang w:bidi="ar-SA"/>
        </w:rPr>
        <w:t></w:t>
      </w:r>
      <w:r w:rsidRPr="00005DF6">
        <w:rPr>
          <w:rFonts w:ascii="Times New Roman" w:eastAsia="Times New Roman" w:hAnsi="Times New Roman" w:cs="Times New Roman"/>
          <w:sz w:val="24"/>
          <w:szCs w:val="24"/>
          <w:lang w:bidi="ar-SA"/>
        </w:rPr>
        <w:t xml:space="preserve">  </w:t>
      </w:r>
      <w:proofErr w:type="spellStart"/>
      <w:r w:rsidRPr="00005DF6">
        <w:rPr>
          <w:rFonts w:ascii="Times New Roman" w:eastAsia="Times New Roman" w:hAnsi="Times New Roman" w:cs="Times New Roman"/>
          <w:sz w:val="24"/>
          <w:szCs w:val="24"/>
          <w:lang w:bidi="ar-SA"/>
        </w:rPr>
        <w:t>Kleinpell</w:t>
      </w:r>
      <w:proofErr w:type="spellEnd"/>
      <w:r w:rsidRPr="00005DF6">
        <w:rPr>
          <w:rFonts w:ascii="Times New Roman" w:eastAsia="Times New Roman" w:hAnsi="Times New Roman" w:cs="Times New Roman"/>
          <w:sz w:val="24"/>
          <w:szCs w:val="24"/>
          <w:lang w:bidi="ar-SA"/>
        </w:rPr>
        <w:t xml:space="preserve"> R, </w:t>
      </w:r>
      <w:proofErr w:type="spellStart"/>
      <w:r w:rsidRPr="00005DF6">
        <w:rPr>
          <w:rFonts w:ascii="Times New Roman" w:eastAsia="Times New Roman" w:hAnsi="Times New Roman" w:cs="Times New Roman"/>
          <w:sz w:val="24"/>
          <w:szCs w:val="24"/>
          <w:lang w:bidi="ar-SA"/>
        </w:rPr>
        <w:t>Sessler</w:t>
      </w:r>
      <w:proofErr w:type="spellEnd"/>
      <w:r w:rsidRPr="00005DF6">
        <w:rPr>
          <w:rFonts w:ascii="Times New Roman" w:eastAsia="Times New Roman" w:hAnsi="Times New Roman" w:cs="Times New Roman"/>
          <w:sz w:val="24"/>
          <w:szCs w:val="24"/>
          <w:lang w:bidi="ar-SA"/>
        </w:rPr>
        <w:t xml:space="preserve"> CN, Kane-Gill SL, et al. </w:t>
      </w:r>
      <w:proofErr w:type="spellStart"/>
      <w:r w:rsidRPr="00005DF6">
        <w:rPr>
          <w:rFonts w:ascii="Times New Roman" w:eastAsia="Times New Roman" w:hAnsi="Times New Roman" w:cs="Times New Roman"/>
          <w:sz w:val="24"/>
          <w:szCs w:val="24"/>
          <w:lang w:bidi="ar-SA"/>
        </w:rPr>
        <w:t>Interprofessional</w:t>
      </w:r>
      <w:proofErr w:type="spellEnd"/>
      <w:r w:rsidRPr="00005DF6">
        <w:rPr>
          <w:rFonts w:ascii="Times New Roman" w:eastAsia="Times New Roman" w:hAnsi="Times New Roman" w:cs="Times New Roman"/>
          <w:sz w:val="24"/>
          <w:szCs w:val="24"/>
          <w:lang w:bidi="ar-SA"/>
        </w:rPr>
        <w:t xml:space="preserve"> collaborative practice in critical care: looking back and forging ahead. </w:t>
      </w:r>
      <w:proofErr w:type="spellStart"/>
      <w:r w:rsidRPr="00005DF6">
        <w:rPr>
          <w:rFonts w:ascii="Times New Roman" w:eastAsia="Times New Roman" w:hAnsi="Times New Roman" w:cs="Times New Roman"/>
          <w:sz w:val="24"/>
          <w:szCs w:val="24"/>
          <w:lang w:bidi="ar-SA"/>
        </w:rPr>
        <w:t>Crit</w:t>
      </w:r>
      <w:proofErr w:type="spellEnd"/>
      <w:r w:rsidRPr="00005DF6">
        <w:rPr>
          <w:rFonts w:ascii="Times New Roman" w:eastAsia="Times New Roman" w:hAnsi="Times New Roman" w:cs="Times New Roman"/>
          <w:sz w:val="24"/>
          <w:szCs w:val="24"/>
          <w:lang w:bidi="ar-SA"/>
        </w:rPr>
        <w:t xml:space="preserve"> Care Med. 2022;50(6):e1–e9.</w:t>
      </w:r>
    </w:p>
    <w:p w14:paraId="543149F8" w14:textId="77777777" w:rsidR="00005DF6" w:rsidRPr="00005DF6" w:rsidRDefault="00005DF6" w:rsidP="00005DF6">
      <w:pPr>
        <w:bidi w:val="0"/>
        <w:spacing w:before="100" w:beforeAutospacing="1" w:after="100" w:afterAutospacing="1" w:line="240" w:lineRule="auto"/>
        <w:rPr>
          <w:rFonts w:ascii="Times New Roman" w:eastAsia="Times New Roman" w:hAnsi="Times New Roman" w:cs="Times New Roman"/>
          <w:sz w:val="24"/>
          <w:szCs w:val="24"/>
          <w:lang w:bidi="ar-SA"/>
        </w:rPr>
      </w:pPr>
      <w:r w:rsidRPr="00005DF6">
        <w:rPr>
          <w:rFonts w:ascii="Times New Roman" w:eastAsia="Times New Roman" w:hAnsi="Symbol" w:cs="Times New Roman"/>
          <w:sz w:val="24"/>
          <w:szCs w:val="24"/>
          <w:lang w:bidi="ar-SA"/>
        </w:rPr>
        <w:t></w:t>
      </w:r>
      <w:r w:rsidRPr="00005DF6">
        <w:rPr>
          <w:rFonts w:ascii="Times New Roman" w:eastAsia="Times New Roman" w:hAnsi="Times New Roman" w:cs="Times New Roman"/>
          <w:sz w:val="24"/>
          <w:szCs w:val="24"/>
          <w:lang w:bidi="ar-SA"/>
        </w:rPr>
        <w:t xml:space="preserve">  </w:t>
      </w:r>
      <w:proofErr w:type="spellStart"/>
      <w:r w:rsidRPr="00005DF6">
        <w:rPr>
          <w:rFonts w:ascii="Times New Roman" w:eastAsia="Times New Roman" w:hAnsi="Times New Roman" w:cs="Times New Roman"/>
          <w:sz w:val="24"/>
          <w:szCs w:val="24"/>
          <w:lang w:bidi="ar-SA"/>
        </w:rPr>
        <w:t>Kreindler</w:t>
      </w:r>
      <w:proofErr w:type="spellEnd"/>
      <w:r w:rsidRPr="00005DF6">
        <w:rPr>
          <w:rFonts w:ascii="Times New Roman" w:eastAsia="Times New Roman" w:hAnsi="Times New Roman" w:cs="Times New Roman"/>
          <w:sz w:val="24"/>
          <w:szCs w:val="24"/>
          <w:lang w:bidi="ar-SA"/>
        </w:rPr>
        <w:t xml:space="preserve"> SA, Dowd D, Dana Star N, Gottschalk T. Silos and social identity: the social identity approach as a framework for understanding and overcoming divisions in health care. Milbank Q. 2012;90(2):347–374.</w:t>
      </w:r>
    </w:p>
    <w:p w14:paraId="01EF97C6" w14:textId="77777777" w:rsidR="00005DF6" w:rsidRPr="00005DF6" w:rsidRDefault="00005DF6" w:rsidP="00005DF6">
      <w:pPr>
        <w:bidi w:val="0"/>
        <w:spacing w:before="100" w:beforeAutospacing="1" w:after="100" w:afterAutospacing="1" w:line="240" w:lineRule="auto"/>
        <w:rPr>
          <w:rFonts w:ascii="Times New Roman" w:eastAsia="Times New Roman" w:hAnsi="Times New Roman" w:cs="Times New Roman"/>
          <w:sz w:val="24"/>
          <w:szCs w:val="24"/>
          <w:lang w:bidi="ar-SA"/>
        </w:rPr>
      </w:pPr>
      <w:r w:rsidRPr="00005DF6">
        <w:rPr>
          <w:rFonts w:ascii="Times New Roman" w:eastAsia="Times New Roman" w:hAnsi="Symbol" w:cs="Times New Roman"/>
          <w:sz w:val="24"/>
          <w:szCs w:val="24"/>
          <w:lang w:bidi="ar-SA"/>
        </w:rPr>
        <w:t></w:t>
      </w:r>
      <w:r w:rsidRPr="00005DF6">
        <w:rPr>
          <w:rFonts w:ascii="Times New Roman" w:eastAsia="Times New Roman" w:hAnsi="Times New Roman" w:cs="Times New Roman"/>
          <w:sz w:val="24"/>
          <w:szCs w:val="24"/>
          <w:lang w:bidi="ar-SA"/>
        </w:rPr>
        <w:t xml:space="preserve">  </w:t>
      </w:r>
      <w:proofErr w:type="spellStart"/>
      <w:r w:rsidRPr="00005DF6">
        <w:rPr>
          <w:rFonts w:ascii="Times New Roman" w:eastAsia="Times New Roman" w:hAnsi="Times New Roman" w:cs="Times New Roman"/>
          <w:sz w:val="24"/>
          <w:szCs w:val="24"/>
          <w:lang w:bidi="ar-SA"/>
        </w:rPr>
        <w:t>Manser</w:t>
      </w:r>
      <w:proofErr w:type="spellEnd"/>
      <w:r w:rsidRPr="00005DF6">
        <w:rPr>
          <w:rFonts w:ascii="Times New Roman" w:eastAsia="Times New Roman" w:hAnsi="Times New Roman" w:cs="Times New Roman"/>
          <w:sz w:val="24"/>
          <w:szCs w:val="24"/>
          <w:lang w:bidi="ar-SA"/>
        </w:rPr>
        <w:t xml:space="preserve"> T. Teamwork and patient safety in dynamic domains of healthcare: a review of the literature. </w:t>
      </w:r>
      <w:proofErr w:type="spellStart"/>
      <w:r w:rsidRPr="00005DF6">
        <w:rPr>
          <w:rFonts w:ascii="Times New Roman" w:eastAsia="Times New Roman" w:hAnsi="Times New Roman" w:cs="Times New Roman"/>
          <w:sz w:val="24"/>
          <w:szCs w:val="24"/>
          <w:lang w:bidi="ar-SA"/>
        </w:rPr>
        <w:t>Acta</w:t>
      </w:r>
      <w:proofErr w:type="spellEnd"/>
      <w:r w:rsidRPr="00005DF6">
        <w:rPr>
          <w:rFonts w:ascii="Times New Roman" w:eastAsia="Times New Roman" w:hAnsi="Times New Roman" w:cs="Times New Roman"/>
          <w:sz w:val="24"/>
          <w:szCs w:val="24"/>
          <w:lang w:bidi="ar-SA"/>
        </w:rPr>
        <w:t xml:space="preserve"> </w:t>
      </w:r>
      <w:proofErr w:type="spellStart"/>
      <w:r w:rsidRPr="00005DF6">
        <w:rPr>
          <w:rFonts w:ascii="Times New Roman" w:eastAsia="Times New Roman" w:hAnsi="Times New Roman" w:cs="Times New Roman"/>
          <w:sz w:val="24"/>
          <w:szCs w:val="24"/>
          <w:lang w:bidi="ar-SA"/>
        </w:rPr>
        <w:t>Anaesthesiol</w:t>
      </w:r>
      <w:proofErr w:type="spellEnd"/>
      <w:r w:rsidRPr="00005DF6">
        <w:rPr>
          <w:rFonts w:ascii="Times New Roman" w:eastAsia="Times New Roman" w:hAnsi="Times New Roman" w:cs="Times New Roman"/>
          <w:sz w:val="24"/>
          <w:szCs w:val="24"/>
          <w:lang w:bidi="ar-SA"/>
        </w:rPr>
        <w:t xml:space="preserve"> Scand. 2009;53(2):143–151.</w:t>
      </w:r>
    </w:p>
    <w:p w14:paraId="5F9E30E3" w14:textId="77777777" w:rsidR="00005DF6" w:rsidRPr="00005DF6" w:rsidRDefault="00005DF6" w:rsidP="00005DF6">
      <w:pPr>
        <w:bidi w:val="0"/>
        <w:spacing w:before="100" w:beforeAutospacing="1" w:after="100" w:afterAutospacing="1" w:line="240" w:lineRule="auto"/>
        <w:rPr>
          <w:rFonts w:ascii="Times New Roman" w:eastAsia="Times New Roman" w:hAnsi="Times New Roman" w:cs="Times New Roman"/>
          <w:sz w:val="24"/>
          <w:szCs w:val="24"/>
          <w:lang w:bidi="ar-SA"/>
        </w:rPr>
      </w:pPr>
      <w:r w:rsidRPr="00005DF6">
        <w:rPr>
          <w:rFonts w:ascii="Times New Roman" w:eastAsia="Times New Roman" w:hAnsi="Symbol" w:cs="Times New Roman"/>
          <w:sz w:val="24"/>
          <w:szCs w:val="24"/>
          <w:lang w:bidi="ar-SA"/>
        </w:rPr>
        <w:t></w:t>
      </w:r>
      <w:r w:rsidRPr="00005DF6">
        <w:rPr>
          <w:rFonts w:ascii="Times New Roman" w:eastAsia="Times New Roman" w:hAnsi="Times New Roman" w:cs="Times New Roman"/>
          <w:sz w:val="24"/>
          <w:szCs w:val="24"/>
          <w:lang w:bidi="ar-SA"/>
        </w:rPr>
        <w:t xml:space="preserve">  Weller J, Boyd M, Cumin D. Teams, tribes and patient safety: overcoming barriers to effective teamwork in healthcare. Postgrad Med J. 2014;90(1061):149–154.</w:t>
      </w:r>
    </w:p>
    <w:p w14:paraId="52C669E1" w14:textId="77777777" w:rsidR="00005DF6" w:rsidRPr="00005DF6" w:rsidRDefault="00005DF6" w:rsidP="00005DF6">
      <w:pPr>
        <w:bidi w:val="0"/>
        <w:spacing w:before="100" w:beforeAutospacing="1" w:after="100" w:afterAutospacing="1" w:line="240" w:lineRule="auto"/>
        <w:rPr>
          <w:rFonts w:ascii="Times New Roman" w:eastAsia="Times New Roman" w:hAnsi="Times New Roman" w:cs="Times New Roman"/>
          <w:sz w:val="24"/>
          <w:szCs w:val="24"/>
          <w:lang w:bidi="ar-SA"/>
        </w:rPr>
      </w:pPr>
      <w:r w:rsidRPr="00005DF6">
        <w:rPr>
          <w:rFonts w:ascii="Times New Roman" w:eastAsia="Times New Roman" w:hAnsi="Symbol" w:cs="Times New Roman"/>
          <w:sz w:val="24"/>
          <w:szCs w:val="24"/>
          <w:lang w:bidi="ar-SA"/>
        </w:rPr>
        <w:t></w:t>
      </w:r>
      <w:r w:rsidRPr="00005DF6">
        <w:rPr>
          <w:rFonts w:ascii="Times New Roman" w:eastAsia="Times New Roman" w:hAnsi="Times New Roman" w:cs="Times New Roman"/>
          <w:sz w:val="24"/>
          <w:szCs w:val="24"/>
          <w:lang w:bidi="ar-SA"/>
        </w:rPr>
        <w:t xml:space="preserve">  Fordyce CB, Katz JN, </w:t>
      </w:r>
      <w:proofErr w:type="spellStart"/>
      <w:r w:rsidRPr="00005DF6">
        <w:rPr>
          <w:rFonts w:ascii="Times New Roman" w:eastAsia="Times New Roman" w:hAnsi="Times New Roman" w:cs="Times New Roman"/>
          <w:sz w:val="24"/>
          <w:szCs w:val="24"/>
          <w:lang w:bidi="ar-SA"/>
        </w:rPr>
        <w:t>Alviar</w:t>
      </w:r>
      <w:proofErr w:type="spellEnd"/>
      <w:r w:rsidRPr="00005DF6">
        <w:rPr>
          <w:rFonts w:ascii="Times New Roman" w:eastAsia="Times New Roman" w:hAnsi="Times New Roman" w:cs="Times New Roman"/>
          <w:sz w:val="24"/>
          <w:szCs w:val="24"/>
          <w:lang w:bidi="ar-SA"/>
        </w:rPr>
        <w:t xml:space="preserve"> CL, et al. Prevention of complications in the cardiac intensive care unit: a scientific statement from the American Heart Association. Circulation. 2020;142(22):e379–e406.</w:t>
      </w:r>
    </w:p>
    <w:p w14:paraId="20D8BF6C" w14:textId="77777777" w:rsidR="00005DF6" w:rsidRPr="00005DF6" w:rsidRDefault="00005DF6" w:rsidP="00005DF6">
      <w:pPr>
        <w:bidi w:val="0"/>
        <w:spacing w:before="100" w:beforeAutospacing="1" w:after="100" w:afterAutospacing="1" w:line="240" w:lineRule="auto"/>
        <w:rPr>
          <w:rFonts w:ascii="Times New Roman" w:eastAsia="Times New Roman" w:hAnsi="Times New Roman" w:cs="Times New Roman"/>
          <w:sz w:val="24"/>
          <w:szCs w:val="24"/>
          <w:lang w:bidi="ar-SA"/>
        </w:rPr>
      </w:pPr>
      <w:r w:rsidRPr="00005DF6">
        <w:rPr>
          <w:rFonts w:ascii="Times New Roman" w:eastAsia="Times New Roman" w:hAnsi="Symbol" w:cs="Times New Roman"/>
          <w:sz w:val="24"/>
          <w:szCs w:val="24"/>
          <w:lang w:bidi="ar-SA"/>
        </w:rPr>
        <w:t></w:t>
      </w:r>
      <w:r w:rsidRPr="00005DF6">
        <w:rPr>
          <w:rFonts w:ascii="Times New Roman" w:eastAsia="Times New Roman" w:hAnsi="Times New Roman" w:cs="Times New Roman"/>
          <w:sz w:val="24"/>
          <w:szCs w:val="24"/>
          <w:lang w:bidi="ar-SA"/>
        </w:rPr>
        <w:t xml:space="preserve">  </w:t>
      </w:r>
      <w:proofErr w:type="spellStart"/>
      <w:r w:rsidRPr="00005DF6">
        <w:rPr>
          <w:rFonts w:ascii="Times New Roman" w:eastAsia="Times New Roman" w:hAnsi="Times New Roman" w:cs="Times New Roman"/>
          <w:sz w:val="24"/>
          <w:szCs w:val="24"/>
          <w:lang w:bidi="ar-SA"/>
        </w:rPr>
        <w:t>Soliman</w:t>
      </w:r>
      <w:proofErr w:type="spellEnd"/>
      <w:r w:rsidRPr="00005DF6">
        <w:rPr>
          <w:rFonts w:ascii="Times New Roman" w:eastAsia="Times New Roman" w:hAnsi="Times New Roman" w:cs="Times New Roman"/>
          <w:sz w:val="24"/>
          <w:szCs w:val="24"/>
          <w:lang w:bidi="ar-SA"/>
        </w:rPr>
        <w:t xml:space="preserve"> SM. The relationship among workload, teamwork, and missed nursing care. Egyptian Journal of Health Care. 2021;11(4):1234–1248.</w:t>
      </w:r>
    </w:p>
    <w:p w14:paraId="36344E2E" w14:textId="77777777" w:rsidR="00005DF6" w:rsidRPr="00005DF6" w:rsidRDefault="00005DF6" w:rsidP="00005DF6">
      <w:pPr>
        <w:bidi w:val="0"/>
        <w:spacing w:before="100" w:beforeAutospacing="1" w:after="100" w:afterAutospacing="1" w:line="240" w:lineRule="auto"/>
        <w:rPr>
          <w:rFonts w:ascii="Times New Roman" w:eastAsia="Times New Roman" w:hAnsi="Times New Roman" w:cs="Times New Roman"/>
          <w:sz w:val="24"/>
          <w:szCs w:val="24"/>
          <w:lang w:bidi="ar-SA"/>
        </w:rPr>
      </w:pPr>
      <w:r w:rsidRPr="00005DF6">
        <w:rPr>
          <w:rFonts w:ascii="Times New Roman" w:eastAsia="Times New Roman" w:hAnsi="Symbol" w:cs="Times New Roman"/>
          <w:sz w:val="24"/>
          <w:szCs w:val="24"/>
          <w:lang w:bidi="ar-SA"/>
        </w:rPr>
        <w:t></w:t>
      </w:r>
      <w:r w:rsidRPr="00005DF6">
        <w:rPr>
          <w:rFonts w:ascii="Times New Roman" w:eastAsia="Times New Roman" w:hAnsi="Times New Roman" w:cs="Times New Roman"/>
          <w:sz w:val="24"/>
          <w:szCs w:val="24"/>
          <w:lang w:bidi="ar-SA"/>
        </w:rPr>
        <w:t xml:space="preserve">  Cho E, You SJ, Kim MH, et al. Effects of work hours and overtime on missed nursing care and organizational commitment among hospital nurses in South Korea. J </w:t>
      </w:r>
      <w:proofErr w:type="spellStart"/>
      <w:r w:rsidRPr="00005DF6">
        <w:rPr>
          <w:rFonts w:ascii="Times New Roman" w:eastAsia="Times New Roman" w:hAnsi="Times New Roman" w:cs="Times New Roman"/>
          <w:sz w:val="24"/>
          <w:szCs w:val="24"/>
          <w:lang w:bidi="ar-SA"/>
        </w:rPr>
        <w:t>Nurs</w:t>
      </w:r>
      <w:proofErr w:type="spellEnd"/>
      <w:r w:rsidRPr="00005DF6">
        <w:rPr>
          <w:rFonts w:ascii="Times New Roman" w:eastAsia="Times New Roman" w:hAnsi="Times New Roman" w:cs="Times New Roman"/>
          <w:sz w:val="24"/>
          <w:szCs w:val="24"/>
          <w:lang w:bidi="ar-SA"/>
        </w:rPr>
        <w:t xml:space="preserve"> </w:t>
      </w:r>
      <w:proofErr w:type="spellStart"/>
      <w:r w:rsidRPr="00005DF6">
        <w:rPr>
          <w:rFonts w:ascii="Times New Roman" w:eastAsia="Times New Roman" w:hAnsi="Times New Roman" w:cs="Times New Roman"/>
          <w:sz w:val="24"/>
          <w:szCs w:val="24"/>
          <w:lang w:bidi="ar-SA"/>
        </w:rPr>
        <w:t>Manag</w:t>
      </w:r>
      <w:proofErr w:type="spellEnd"/>
      <w:r w:rsidRPr="00005DF6">
        <w:rPr>
          <w:rFonts w:ascii="Times New Roman" w:eastAsia="Times New Roman" w:hAnsi="Times New Roman" w:cs="Times New Roman"/>
          <w:sz w:val="24"/>
          <w:szCs w:val="24"/>
          <w:lang w:bidi="ar-SA"/>
        </w:rPr>
        <w:t>. 2021;29(8):2327–2335.</w:t>
      </w:r>
    </w:p>
    <w:p w14:paraId="0FA7FA2E" w14:textId="77777777" w:rsidR="00005DF6" w:rsidRPr="00005DF6" w:rsidRDefault="00005DF6" w:rsidP="00005DF6">
      <w:pPr>
        <w:bidi w:val="0"/>
        <w:spacing w:before="100" w:beforeAutospacing="1" w:after="100" w:afterAutospacing="1" w:line="240" w:lineRule="auto"/>
        <w:rPr>
          <w:rFonts w:ascii="Times New Roman" w:eastAsia="Times New Roman" w:hAnsi="Times New Roman" w:cs="Times New Roman"/>
          <w:sz w:val="24"/>
          <w:szCs w:val="24"/>
          <w:lang w:bidi="ar-SA"/>
        </w:rPr>
      </w:pPr>
      <w:r w:rsidRPr="00005DF6">
        <w:rPr>
          <w:rFonts w:ascii="Times New Roman" w:eastAsia="Times New Roman" w:hAnsi="Symbol" w:cs="Times New Roman"/>
          <w:sz w:val="24"/>
          <w:szCs w:val="24"/>
          <w:lang w:bidi="ar-SA"/>
        </w:rPr>
        <w:t></w:t>
      </w:r>
      <w:r w:rsidRPr="00005DF6">
        <w:rPr>
          <w:rFonts w:ascii="Times New Roman" w:eastAsia="Times New Roman" w:hAnsi="Times New Roman" w:cs="Times New Roman"/>
          <w:sz w:val="24"/>
          <w:szCs w:val="24"/>
          <w:lang w:bidi="ar-SA"/>
        </w:rPr>
        <w:t xml:space="preserve">  </w:t>
      </w:r>
      <w:proofErr w:type="spellStart"/>
      <w:r w:rsidRPr="00005DF6">
        <w:rPr>
          <w:rFonts w:ascii="Times New Roman" w:eastAsia="Times New Roman" w:hAnsi="Times New Roman" w:cs="Times New Roman"/>
          <w:sz w:val="24"/>
          <w:szCs w:val="24"/>
          <w:lang w:bidi="ar-SA"/>
        </w:rPr>
        <w:t>Poghosyan</w:t>
      </w:r>
      <w:proofErr w:type="spellEnd"/>
      <w:r w:rsidRPr="00005DF6">
        <w:rPr>
          <w:rFonts w:ascii="Times New Roman" w:eastAsia="Times New Roman" w:hAnsi="Times New Roman" w:cs="Times New Roman"/>
          <w:sz w:val="24"/>
          <w:szCs w:val="24"/>
          <w:lang w:bidi="ar-SA"/>
        </w:rPr>
        <w:t xml:space="preserve"> L, Clarke SP, Finlayson M, Aiken LH. Nurse burnout and quality of care: cross-national investigation in six countries. J </w:t>
      </w:r>
      <w:proofErr w:type="spellStart"/>
      <w:r w:rsidRPr="00005DF6">
        <w:rPr>
          <w:rFonts w:ascii="Times New Roman" w:eastAsia="Times New Roman" w:hAnsi="Times New Roman" w:cs="Times New Roman"/>
          <w:sz w:val="24"/>
          <w:szCs w:val="24"/>
          <w:lang w:bidi="ar-SA"/>
        </w:rPr>
        <w:t>Nurs</w:t>
      </w:r>
      <w:proofErr w:type="spellEnd"/>
      <w:r w:rsidRPr="00005DF6">
        <w:rPr>
          <w:rFonts w:ascii="Times New Roman" w:eastAsia="Times New Roman" w:hAnsi="Times New Roman" w:cs="Times New Roman"/>
          <w:sz w:val="24"/>
          <w:szCs w:val="24"/>
          <w:lang w:bidi="ar-SA"/>
        </w:rPr>
        <w:t xml:space="preserve"> </w:t>
      </w:r>
      <w:proofErr w:type="spellStart"/>
      <w:r w:rsidRPr="00005DF6">
        <w:rPr>
          <w:rFonts w:ascii="Times New Roman" w:eastAsia="Times New Roman" w:hAnsi="Times New Roman" w:cs="Times New Roman"/>
          <w:sz w:val="24"/>
          <w:szCs w:val="24"/>
          <w:lang w:bidi="ar-SA"/>
        </w:rPr>
        <w:t>Manag</w:t>
      </w:r>
      <w:proofErr w:type="spellEnd"/>
      <w:r w:rsidRPr="00005DF6">
        <w:rPr>
          <w:rFonts w:ascii="Times New Roman" w:eastAsia="Times New Roman" w:hAnsi="Times New Roman" w:cs="Times New Roman"/>
          <w:sz w:val="24"/>
          <w:szCs w:val="24"/>
          <w:lang w:bidi="ar-SA"/>
        </w:rPr>
        <w:t>. 2010;18(3):317–325.</w:t>
      </w:r>
    </w:p>
    <w:p w14:paraId="3A35646B" w14:textId="77777777" w:rsidR="00005DF6" w:rsidRPr="00005DF6" w:rsidRDefault="00005DF6" w:rsidP="00005DF6">
      <w:pPr>
        <w:bidi w:val="0"/>
        <w:spacing w:before="100" w:beforeAutospacing="1" w:after="100" w:afterAutospacing="1" w:line="240" w:lineRule="auto"/>
        <w:rPr>
          <w:rFonts w:ascii="Times New Roman" w:eastAsia="Times New Roman" w:hAnsi="Times New Roman" w:cs="Times New Roman"/>
          <w:sz w:val="24"/>
          <w:szCs w:val="24"/>
          <w:lang w:bidi="ar-SA"/>
        </w:rPr>
      </w:pPr>
      <w:r w:rsidRPr="00005DF6">
        <w:rPr>
          <w:rFonts w:ascii="Times New Roman" w:eastAsia="Times New Roman" w:hAnsi="Symbol" w:cs="Times New Roman"/>
          <w:sz w:val="24"/>
          <w:szCs w:val="24"/>
          <w:lang w:bidi="ar-SA"/>
        </w:rPr>
        <w:t></w:t>
      </w:r>
      <w:r w:rsidRPr="00005DF6">
        <w:rPr>
          <w:rFonts w:ascii="Times New Roman" w:eastAsia="Times New Roman" w:hAnsi="Times New Roman" w:cs="Times New Roman"/>
          <w:sz w:val="24"/>
          <w:szCs w:val="24"/>
          <w:lang w:bidi="ar-SA"/>
        </w:rPr>
        <w:t xml:space="preserve">  Wu RY, Sung WH, Cheng HC, </w:t>
      </w:r>
      <w:proofErr w:type="spellStart"/>
      <w:r w:rsidRPr="00005DF6">
        <w:rPr>
          <w:rFonts w:ascii="Times New Roman" w:eastAsia="Times New Roman" w:hAnsi="Times New Roman" w:cs="Times New Roman"/>
          <w:sz w:val="24"/>
          <w:szCs w:val="24"/>
          <w:lang w:bidi="ar-SA"/>
        </w:rPr>
        <w:t>Yeh</w:t>
      </w:r>
      <w:proofErr w:type="spellEnd"/>
      <w:r w:rsidRPr="00005DF6">
        <w:rPr>
          <w:rFonts w:ascii="Times New Roman" w:eastAsia="Times New Roman" w:hAnsi="Times New Roman" w:cs="Times New Roman"/>
          <w:sz w:val="24"/>
          <w:szCs w:val="24"/>
          <w:lang w:bidi="ar-SA"/>
        </w:rPr>
        <w:t xml:space="preserve"> HJ. Investigating the rate of skeletal muscle atrophy in men and women in the intensive care unit: a prospective observational study. </w:t>
      </w:r>
      <w:proofErr w:type="spellStart"/>
      <w:r w:rsidRPr="00005DF6">
        <w:rPr>
          <w:rFonts w:ascii="Times New Roman" w:eastAsia="Times New Roman" w:hAnsi="Times New Roman" w:cs="Times New Roman"/>
          <w:sz w:val="24"/>
          <w:szCs w:val="24"/>
          <w:lang w:bidi="ar-SA"/>
        </w:rPr>
        <w:t>Sci</w:t>
      </w:r>
      <w:proofErr w:type="spellEnd"/>
      <w:r w:rsidRPr="00005DF6">
        <w:rPr>
          <w:rFonts w:ascii="Times New Roman" w:eastAsia="Times New Roman" w:hAnsi="Times New Roman" w:cs="Times New Roman"/>
          <w:sz w:val="24"/>
          <w:szCs w:val="24"/>
          <w:lang w:bidi="ar-SA"/>
        </w:rPr>
        <w:t xml:space="preserve"> Rep. 2022;12:16629.</w:t>
      </w:r>
    </w:p>
    <w:p w14:paraId="2D5A2F12" w14:textId="77777777" w:rsidR="00005DF6" w:rsidRPr="00005DF6" w:rsidRDefault="00005DF6" w:rsidP="00005DF6">
      <w:pPr>
        <w:bidi w:val="0"/>
        <w:spacing w:before="100" w:beforeAutospacing="1" w:after="100" w:afterAutospacing="1" w:line="240" w:lineRule="auto"/>
        <w:rPr>
          <w:rFonts w:ascii="Times New Roman" w:eastAsia="Times New Roman" w:hAnsi="Times New Roman" w:cs="Times New Roman"/>
          <w:sz w:val="24"/>
          <w:szCs w:val="24"/>
          <w:lang w:bidi="ar-SA"/>
        </w:rPr>
      </w:pPr>
      <w:r w:rsidRPr="00005DF6">
        <w:rPr>
          <w:rFonts w:ascii="Times New Roman" w:eastAsia="Times New Roman" w:hAnsi="Symbol" w:cs="Times New Roman"/>
          <w:sz w:val="24"/>
          <w:szCs w:val="24"/>
          <w:lang w:bidi="ar-SA"/>
        </w:rPr>
        <w:t></w:t>
      </w:r>
      <w:r w:rsidRPr="00005DF6">
        <w:rPr>
          <w:rFonts w:ascii="Times New Roman" w:eastAsia="Times New Roman" w:hAnsi="Times New Roman" w:cs="Times New Roman"/>
          <w:sz w:val="24"/>
          <w:szCs w:val="24"/>
          <w:lang w:bidi="ar-SA"/>
        </w:rPr>
        <w:t xml:space="preserve">  </w:t>
      </w:r>
      <w:proofErr w:type="spellStart"/>
      <w:r w:rsidRPr="00005DF6">
        <w:rPr>
          <w:rFonts w:ascii="Times New Roman" w:eastAsia="Times New Roman" w:hAnsi="Times New Roman" w:cs="Times New Roman"/>
          <w:sz w:val="24"/>
          <w:szCs w:val="24"/>
          <w:lang w:bidi="ar-SA"/>
        </w:rPr>
        <w:t>Fazzini</w:t>
      </w:r>
      <w:proofErr w:type="spellEnd"/>
      <w:r w:rsidRPr="00005DF6">
        <w:rPr>
          <w:rFonts w:ascii="Times New Roman" w:eastAsia="Times New Roman" w:hAnsi="Times New Roman" w:cs="Times New Roman"/>
          <w:sz w:val="24"/>
          <w:szCs w:val="24"/>
          <w:lang w:bidi="ar-SA"/>
        </w:rPr>
        <w:t xml:space="preserve"> B, et al. The rate and assessment of muscle wasting during critical illness: a systematic review and meta-analysis. </w:t>
      </w:r>
      <w:proofErr w:type="spellStart"/>
      <w:r w:rsidRPr="00005DF6">
        <w:rPr>
          <w:rFonts w:ascii="Times New Roman" w:eastAsia="Times New Roman" w:hAnsi="Times New Roman" w:cs="Times New Roman"/>
          <w:sz w:val="24"/>
          <w:szCs w:val="24"/>
          <w:lang w:bidi="ar-SA"/>
        </w:rPr>
        <w:t>Crit</w:t>
      </w:r>
      <w:proofErr w:type="spellEnd"/>
      <w:r w:rsidRPr="00005DF6">
        <w:rPr>
          <w:rFonts w:ascii="Times New Roman" w:eastAsia="Times New Roman" w:hAnsi="Times New Roman" w:cs="Times New Roman"/>
          <w:sz w:val="24"/>
          <w:szCs w:val="24"/>
          <w:lang w:bidi="ar-SA"/>
        </w:rPr>
        <w:t xml:space="preserve"> Care. 2023;27(1):1–12.</w:t>
      </w:r>
    </w:p>
    <w:p w14:paraId="77CC82FA" w14:textId="77777777" w:rsidR="00005DF6" w:rsidRPr="00005DF6" w:rsidRDefault="00005DF6" w:rsidP="00005DF6">
      <w:pPr>
        <w:bidi w:val="0"/>
        <w:spacing w:before="100" w:beforeAutospacing="1" w:after="100" w:afterAutospacing="1" w:line="240" w:lineRule="auto"/>
        <w:rPr>
          <w:rFonts w:ascii="Times New Roman" w:eastAsia="Times New Roman" w:hAnsi="Times New Roman" w:cs="Times New Roman"/>
          <w:sz w:val="24"/>
          <w:szCs w:val="24"/>
          <w:lang w:bidi="ar-SA"/>
        </w:rPr>
      </w:pPr>
      <w:r w:rsidRPr="00005DF6">
        <w:rPr>
          <w:rFonts w:ascii="Times New Roman" w:eastAsia="Times New Roman" w:hAnsi="Symbol" w:cs="Times New Roman"/>
          <w:sz w:val="24"/>
          <w:szCs w:val="24"/>
          <w:lang w:bidi="ar-SA"/>
        </w:rPr>
        <w:t></w:t>
      </w:r>
      <w:r w:rsidRPr="00005DF6">
        <w:rPr>
          <w:rFonts w:ascii="Times New Roman" w:eastAsia="Times New Roman" w:hAnsi="Times New Roman" w:cs="Times New Roman"/>
          <w:sz w:val="24"/>
          <w:szCs w:val="24"/>
          <w:lang w:bidi="ar-SA"/>
        </w:rPr>
        <w:t xml:space="preserve">  Wang W, et al. Intensive care unit-acquired weakness: a review of recent literature. Front Med. 2020;7:559789.</w:t>
      </w:r>
    </w:p>
    <w:p w14:paraId="7BC9AEEC" w14:textId="77777777" w:rsidR="00005DF6" w:rsidRPr="00005DF6" w:rsidRDefault="00005DF6" w:rsidP="00005DF6">
      <w:pPr>
        <w:bidi w:val="0"/>
        <w:spacing w:before="100" w:beforeAutospacing="1" w:after="100" w:afterAutospacing="1" w:line="240" w:lineRule="auto"/>
        <w:rPr>
          <w:rFonts w:ascii="Times New Roman" w:eastAsia="Times New Roman" w:hAnsi="Times New Roman" w:cs="Times New Roman"/>
          <w:sz w:val="24"/>
          <w:szCs w:val="24"/>
          <w:lang w:bidi="ar-SA"/>
        </w:rPr>
      </w:pPr>
      <w:r w:rsidRPr="00005DF6">
        <w:rPr>
          <w:rFonts w:ascii="Times New Roman" w:eastAsia="Times New Roman" w:hAnsi="Symbol" w:cs="Times New Roman"/>
          <w:sz w:val="24"/>
          <w:szCs w:val="24"/>
          <w:lang w:bidi="ar-SA"/>
        </w:rPr>
        <w:t></w:t>
      </w:r>
      <w:r w:rsidRPr="00005DF6">
        <w:rPr>
          <w:rFonts w:ascii="Times New Roman" w:eastAsia="Times New Roman" w:hAnsi="Times New Roman" w:cs="Times New Roman"/>
          <w:sz w:val="24"/>
          <w:szCs w:val="24"/>
          <w:lang w:bidi="ar-SA"/>
        </w:rPr>
        <w:t xml:space="preserve">  </w:t>
      </w:r>
      <w:proofErr w:type="spellStart"/>
      <w:r w:rsidRPr="00005DF6">
        <w:rPr>
          <w:rFonts w:ascii="Times New Roman" w:eastAsia="Times New Roman" w:hAnsi="Times New Roman" w:cs="Times New Roman"/>
          <w:sz w:val="24"/>
          <w:szCs w:val="24"/>
          <w:lang w:bidi="ar-SA"/>
        </w:rPr>
        <w:t>Herridge</w:t>
      </w:r>
      <w:proofErr w:type="spellEnd"/>
      <w:r w:rsidRPr="00005DF6">
        <w:rPr>
          <w:rFonts w:ascii="Times New Roman" w:eastAsia="Times New Roman" w:hAnsi="Times New Roman" w:cs="Times New Roman"/>
          <w:sz w:val="24"/>
          <w:szCs w:val="24"/>
          <w:lang w:bidi="ar-SA"/>
        </w:rPr>
        <w:t xml:space="preserve"> MS, </w:t>
      </w:r>
      <w:proofErr w:type="spellStart"/>
      <w:r w:rsidRPr="00005DF6">
        <w:rPr>
          <w:rFonts w:ascii="Times New Roman" w:eastAsia="Times New Roman" w:hAnsi="Times New Roman" w:cs="Times New Roman"/>
          <w:sz w:val="24"/>
          <w:szCs w:val="24"/>
          <w:lang w:bidi="ar-SA"/>
        </w:rPr>
        <w:t>Tansey</w:t>
      </w:r>
      <w:proofErr w:type="spellEnd"/>
      <w:r w:rsidRPr="00005DF6">
        <w:rPr>
          <w:rFonts w:ascii="Times New Roman" w:eastAsia="Times New Roman" w:hAnsi="Times New Roman" w:cs="Times New Roman"/>
          <w:sz w:val="24"/>
          <w:szCs w:val="24"/>
          <w:lang w:bidi="ar-SA"/>
        </w:rPr>
        <w:t xml:space="preserve"> CM, Matte A, et al. Functional disability 5 years after acute respiratory distress syndrome. N </w:t>
      </w:r>
      <w:proofErr w:type="spellStart"/>
      <w:r w:rsidRPr="00005DF6">
        <w:rPr>
          <w:rFonts w:ascii="Times New Roman" w:eastAsia="Times New Roman" w:hAnsi="Times New Roman" w:cs="Times New Roman"/>
          <w:sz w:val="24"/>
          <w:szCs w:val="24"/>
          <w:lang w:bidi="ar-SA"/>
        </w:rPr>
        <w:t>Engl</w:t>
      </w:r>
      <w:proofErr w:type="spellEnd"/>
      <w:r w:rsidRPr="00005DF6">
        <w:rPr>
          <w:rFonts w:ascii="Times New Roman" w:eastAsia="Times New Roman" w:hAnsi="Times New Roman" w:cs="Times New Roman"/>
          <w:sz w:val="24"/>
          <w:szCs w:val="24"/>
          <w:lang w:bidi="ar-SA"/>
        </w:rPr>
        <w:t xml:space="preserve"> J Med. 2011;364(14):1293–1304.</w:t>
      </w:r>
    </w:p>
    <w:p w14:paraId="0348888D" w14:textId="77777777" w:rsidR="00005DF6" w:rsidRPr="00005DF6" w:rsidRDefault="00005DF6" w:rsidP="00005DF6">
      <w:pPr>
        <w:bidi w:val="0"/>
        <w:spacing w:before="100" w:beforeAutospacing="1" w:after="100" w:afterAutospacing="1" w:line="240" w:lineRule="auto"/>
        <w:rPr>
          <w:rFonts w:ascii="Times New Roman" w:eastAsia="Times New Roman" w:hAnsi="Times New Roman" w:cs="Times New Roman"/>
          <w:sz w:val="24"/>
          <w:szCs w:val="24"/>
          <w:lang w:bidi="ar-SA"/>
        </w:rPr>
      </w:pPr>
      <w:r w:rsidRPr="00005DF6">
        <w:rPr>
          <w:rFonts w:ascii="Times New Roman" w:eastAsia="Times New Roman" w:hAnsi="Symbol" w:cs="Times New Roman"/>
          <w:sz w:val="24"/>
          <w:szCs w:val="24"/>
          <w:lang w:bidi="ar-SA"/>
        </w:rPr>
        <w:t></w:t>
      </w:r>
      <w:r w:rsidRPr="00005DF6">
        <w:rPr>
          <w:rFonts w:ascii="Times New Roman" w:eastAsia="Times New Roman" w:hAnsi="Times New Roman" w:cs="Times New Roman"/>
          <w:sz w:val="24"/>
          <w:szCs w:val="24"/>
          <w:lang w:bidi="ar-SA"/>
        </w:rPr>
        <w:t xml:space="preserve">  Needham DM, Davidson J, Cohen H, et al. Improving long-term outcomes after discharge from intensive care unit: report from a stakeholders’ conference. </w:t>
      </w:r>
      <w:proofErr w:type="spellStart"/>
      <w:r w:rsidRPr="00005DF6">
        <w:rPr>
          <w:rFonts w:ascii="Times New Roman" w:eastAsia="Times New Roman" w:hAnsi="Times New Roman" w:cs="Times New Roman"/>
          <w:sz w:val="24"/>
          <w:szCs w:val="24"/>
          <w:lang w:bidi="ar-SA"/>
        </w:rPr>
        <w:t>Crit</w:t>
      </w:r>
      <w:proofErr w:type="spellEnd"/>
      <w:r w:rsidRPr="00005DF6">
        <w:rPr>
          <w:rFonts w:ascii="Times New Roman" w:eastAsia="Times New Roman" w:hAnsi="Times New Roman" w:cs="Times New Roman"/>
          <w:sz w:val="24"/>
          <w:szCs w:val="24"/>
          <w:lang w:bidi="ar-SA"/>
        </w:rPr>
        <w:t xml:space="preserve"> Care Med. 2012;40(2):502–509.</w:t>
      </w:r>
    </w:p>
    <w:p w14:paraId="04260881" w14:textId="77777777" w:rsidR="00005DF6" w:rsidRPr="00005DF6" w:rsidRDefault="00005DF6" w:rsidP="00005DF6">
      <w:pPr>
        <w:bidi w:val="0"/>
        <w:ind w:left="450" w:right="-540"/>
        <w:jc w:val="both"/>
        <w:rPr>
          <w:b/>
          <w:bCs/>
          <w:sz w:val="36"/>
          <w:szCs w:val="36"/>
        </w:rPr>
      </w:pPr>
    </w:p>
    <w:sectPr w:rsidR="00005DF6" w:rsidRPr="00005DF6" w:rsidSect="00F206FD">
      <w:headerReference w:type="default" r:id="rId7"/>
      <w:pgSz w:w="11906" w:h="16838"/>
      <w:pgMar w:top="1701" w:right="1418" w:bottom="1418" w:left="1418"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F177B" w14:textId="77777777" w:rsidR="00A271C7" w:rsidRDefault="00A271C7" w:rsidP="00C3483E">
      <w:pPr>
        <w:spacing w:after="0" w:line="240" w:lineRule="auto"/>
      </w:pPr>
      <w:r>
        <w:separator/>
      </w:r>
    </w:p>
  </w:endnote>
  <w:endnote w:type="continuationSeparator" w:id="0">
    <w:p w14:paraId="610667F4" w14:textId="77777777" w:rsidR="00A271C7" w:rsidRDefault="00A271C7" w:rsidP="00C34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 Nazanin">
    <w:altName w:val="Arial"/>
    <w:charset w:val="B2"/>
    <w:family w:val="auto"/>
    <w:pitch w:val="variable"/>
    <w:sig w:usb0="00002001" w:usb1="80000000" w:usb2="00000008" w:usb3="00000000" w:csb0="00000040" w:csb1="00000000"/>
  </w:font>
  <w:font w:name="Symbol">
    <w:panose1 w:val="05050102010706020507"/>
    <w:charset w:val="02"/>
    <w:family w:val="decorative"/>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3E11D" w14:textId="77777777" w:rsidR="00A271C7" w:rsidRDefault="00A271C7" w:rsidP="00D235A4">
      <w:pPr>
        <w:spacing w:after="0" w:line="240" w:lineRule="auto"/>
        <w:jc w:val="right"/>
      </w:pPr>
      <w:r>
        <w:separator/>
      </w:r>
    </w:p>
  </w:footnote>
  <w:footnote w:type="continuationSeparator" w:id="0">
    <w:p w14:paraId="1E83BDFB" w14:textId="77777777" w:rsidR="00A271C7" w:rsidRDefault="00A271C7" w:rsidP="00C348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D07E6" w14:textId="6BE5F86A" w:rsidR="008C0D78" w:rsidRDefault="008C0D78">
    <w:pPr>
      <w:pStyle w:val="Header"/>
    </w:pPr>
    <w:r>
      <w:rPr>
        <w:noProof/>
        <w:lang w:bidi="ar-SA"/>
        <w14:ligatures w14:val="standardContextual"/>
      </w:rPr>
      <w:drawing>
        <wp:anchor distT="0" distB="0" distL="114300" distR="114300" simplePos="0" relativeHeight="251658240" behindDoc="0" locked="0" layoutInCell="1" allowOverlap="1" wp14:anchorId="7077EA13" wp14:editId="518C471C">
          <wp:simplePos x="0" y="0"/>
          <wp:positionH relativeFrom="column">
            <wp:posOffset>1751330</wp:posOffset>
          </wp:positionH>
          <wp:positionV relativeFrom="paragraph">
            <wp:posOffset>-267335</wp:posOffset>
          </wp:positionV>
          <wp:extent cx="4907280" cy="800100"/>
          <wp:effectExtent l="0" t="0" r="7620" b="0"/>
          <wp:wrapNone/>
          <wp:docPr id="2281377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137759" name="Picture 228137759"/>
                  <pic:cNvPicPr/>
                </pic:nvPicPr>
                <pic:blipFill>
                  <a:blip r:embed="rId1">
                    <a:extLst>
                      <a:ext uri="{28A0092B-C50C-407E-A947-70E740481C1C}">
                        <a14:useLocalDpi xmlns:a14="http://schemas.microsoft.com/office/drawing/2010/main" val="0"/>
                      </a:ext>
                    </a:extLst>
                  </a:blip>
                  <a:stretch>
                    <a:fillRect/>
                  </a:stretch>
                </pic:blipFill>
                <pic:spPr>
                  <a:xfrm>
                    <a:off x="0" y="0"/>
                    <a:ext cx="4907280" cy="80010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22"/>
  <w:proofState w:spelling="clean"/>
  <w:revisionView w:inkAnnotation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6B8"/>
    <w:rsid w:val="00005DF6"/>
    <w:rsid w:val="00020B35"/>
    <w:rsid w:val="00046FF9"/>
    <w:rsid w:val="000617EF"/>
    <w:rsid w:val="00067822"/>
    <w:rsid w:val="000B7B32"/>
    <w:rsid w:val="000E2E5F"/>
    <w:rsid w:val="00112110"/>
    <w:rsid w:val="00134F58"/>
    <w:rsid w:val="00135B09"/>
    <w:rsid w:val="001A0A23"/>
    <w:rsid w:val="001C68D9"/>
    <w:rsid w:val="0022344C"/>
    <w:rsid w:val="00224DB6"/>
    <w:rsid w:val="00225DB4"/>
    <w:rsid w:val="002906BC"/>
    <w:rsid w:val="00290813"/>
    <w:rsid w:val="002A4D29"/>
    <w:rsid w:val="002B5BC8"/>
    <w:rsid w:val="002B64D4"/>
    <w:rsid w:val="002F3545"/>
    <w:rsid w:val="00346D91"/>
    <w:rsid w:val="00350BE7"/>
    <w:rsid w:val="00395B72"/>
    <w:rsid w:val="003D7B70"/>
    <w:rsid w:val="003E65CC"/>
    <w:rsid w:val="00424D6A"/>
    <w:rsid w:val="0044039C"/>
    <w:rsid w:val="004538D4"/>
    <w:rsid w:val="004746B3"/>
    <w:rsid w:val="004939EF"/>
    <w:rsid w:val="0056393E"/>
    <w:rsid w:val="00582016"/>
    <w:rsid w:val="005D421B"/>
    <w:rsid w:val="00640851"/>
    <w:rsid w:val="00642086"/>
    <w:rsid w:val="00675D9A"/>
    <w:rsid w:val="00677691"/>
    <w:rsid w:val="006A732A"/>
    <w:rsid w:val="006D5DF5"/>
    <w:rsid w:val="006D691E"/>
    <w:rsid w:val="00723182"/>
    <w:rsid w:val="00733608"/>
    <w:rsid w:val="00755FD9"/>
    <w:rsid w:val="007B2CED"/>
    <w:rsid w:val="007B3E03"/>
    <w:rsid w:val="007C47CC"/>
    <w:rsid w:val="00802501"/>
    <w:rsid w:val="00822321"/>
    <w:rsid w:val="00831285"/>
    <w:rsid w:val="008C0D78"/>
    <w:rsid w:val="008C2820"/>
    <w:rsid w:val="00900B6A"/>
    <w:rsid w:val="00912805"/>
    <w:rsid w:val="00932193"/>
    <w:rsid w:val="009356E5"/>
    <w:rsid w:val="00944AE2"/>
    <w:rsid w:val="00963EE2"/>
    <w:rsid w:val="009B21E4"/>
    <w:rsid w:val="009F6281"/>
    <w:rsid w:val="00A16B9A"/>
    <w:rsid w:val="00A217AF"/>
    <w:rsid w:val="00A271C7"/>
    <w:rsid w:val="00B0518D"/>
    <w:rsid w:val="00B1350B"/>
    <w:rsid w:val="00B64A6F"/>
    <w:rsid w:val="00BA122F"/>
    <w:rsid w:val="00BD6F50"/>
    <w:rsid w:val="00C057EC"/>
    <w:rsid w:val="00C15DB9"/>
    <w:rsid w:val="00C263FF"/>
    <w:rsid w:val="00C3483E"/>
    <w:rsid w:val="00C536B8"/>
    <w:rsid w:val="00C61CB9"/>
    <w:rsid w:val="00C81252"/>
    <w:rsid w:val="00CB7C8B"/>
    <w:rsid w:val="00CE09CC"/>
    <w:rsid w:val="00CE7572"/>
    <w:rsid w:val="00D22DD4"/>
    <w:rsid w:val="00D235A4"/>
    <w:rsid w:val="00D613BC"/>
    <w:rsid w:val="00D6400A"/>
    <w:rsid w:val="00D925E4"/>
    <w:rsid w:val="00EC51B8"/>
    <w:rsid w:val="00F16314"/>
    <w:rsid w:val="00F206FD"/>
    <w:rsid w:val="00F242A5"/>
    <w:rsid w:val="00F73249"/>
    <w:rsid w:val="00F9077B"/>
    <w:rsid w:val="00F96E8C"/>
    <w:rsid w:val="00FD47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3847A2"/>
  <w15:chartTrackingRefBased/>
  <w15:docId w15:val="{E4A1F376-BBBF-420D-A6A6-3B9EB6CF8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6B8"/>
    <w:pPr>
      <w:bidi/>
      <w:spacing w:line="259" w:lineRule="auto"/>
    </w:pPr>
    <w:rPr>
      <w:rFonts w:eastAsiaTheme="minorEastAsia"/>
      <w:kern w:val="0"/>
      <w:sz w:val="22"/>
      <w:szCs w:val="22"/>
      <w:lang w:bidi="fa-IR"/>
      <w14:ligatures w14:val="none"/>
    </w:rPr>
  </w:style>
  <w:style w:type="paragraph" w:styleId="Heading1">
    <w:name w:val="heading 1"/>
    <w:basedOn w:val="Normal"/>
    <w:next w:val="Normal"/>
    <w:link w:val="Heading1Char"/>
    <w:uiPriority w:val="9"/>
    <w:qFormat/>
    <w:rsid w:val="00C536B8"/>
    <w:pPr>
      <w:keepNext/>
      <w:keepLines/>
      <w:bidi w:val="0"/>
      <w:spacing w:before="360" w:after="80" w:line="278" w:lineRule="auto"/>
      <w:outlineLvl w:val="0"/>
    </w:pPr>
    <w:rPr>
      <w:rFonts w:asciiTheme="majorHAnsi" w:eastAsiaTheme="majorEastAsia" w:hAnsiTheme="majorHAnsi" w:cstheme="majorBidi"/>
      <w:color w:val="2F5496" w:themeColor="accent1" w:themeShade="BF"/>
      <w:kern w:val="2"/>
      <w:sz w:val="40"/>
      <w:szCs w:val="40"/>
      <w:lang w:bidi="ar-SA"/>
      <w14:ligatures w14:val="standardContextual"/>
    </w:rPr>
  </w:style>
  <w:style w:type="paragraph" w:styleId="Heading2">
    <w:name w:val="heading 2"/>
    <w:basedOn w:val="Normal"/>
    <w:next w:val="Normal"/>
    <w:link w:val="Heading2Char"/>
    <w:uiPriority w:val="9"/>
    <w:semiHidden/>
    <w:unhideWhenUsed/>
    <w:qFormat/>
    <w:rsid w:val="00C536B8"/>
    <w:pPr>
      <w:keepNext/>
      <w:keepLines/>
      <w:bidi w:val="0"/>
      <w:spacing w:before="160" w:after="80" w:line="278" w:lineRule="auto"/>
      <w:outlineLvl w:val="1"/>
    </w:pPr>
    <w:rPr>
      <w:rFonts w:asciiTheme="majorHAnsi" w:eastAsiaTheme="majorEastAsia" w:hAnsiTheme="majorHAnsi" w:cstheme="majorBidi"/>
      <w:color w:val="2F5496" w:themeColor="accent1" w:themeShade="BF"/>
      <w:kern w:val="2"/>
      <w:sz w:val="32"/>
      <w:szCs w:val="32"/>
      <w:lang w:bidi="ar-SA"/>
      <w14:ligatures w14:val="standardContextual"/>
    </w:rPr>
  </w:style>
  <w:style w:type="paragraph" w:styleId="Heading3">
    <w:name w:val="heading 3"/>
    <w:basedOn w:val="Normal"/>
    <w:next w:val="Normal"/>
    <w:link w:val="Heading3Char"/>
    <w:uiPriority w:val="9"/>
    <w:semiHidden/>
    <w:unhideWhenUsed/>
    <w:qFormat/>
    <w:rsid w:val="00C536B8"/>
    <w:pPr>
      <w:keepNext/>
      <w:keepLines/>
      <w:bidi w:val="0"/>
      <w:spacing w:before="160" w:after="80" w:line="278" w:lineRule="auto"/>
      <w:outlineLvl w:val="2"/>
    </w:pPr>
    <w:rPr>
      <w:rFonts w:eastAsiaTheme="majorEastAsia" w:cstheme="majorBidi"/>
      <w:color w:val="2F5496" w:themeColor="accent1" w:themeShade="BF"/>
      <w:kern w:val="2"/>
      <w:sz w:val="28"/>
      <w:szCs w:val="28"/>
      <w:lang w:bidi="ar-SA"/>
      <w14:ligatures w14:val="standardContextual"/>
    </w:rPr>
  </w:style>
  <w:style w:type="paragraph" w:styleId="Heading4">
    <w:name w:val="heading 4"/>
    <w:basedOn w:val="Normal"/>
    <w:next w:val="Normal"/>
    <w:link w:val="Heading4Char"/>
    <w:uiPriority w:val="9"/>
    <w:semiHidden/>
    <w:unhideWhenUsed/>
    <w:qFormat/>
    <w:rsid w:val="00C536B8"/>
    <w:pPr>
      <w:keepNext/>
      <w:keepLines/>
      <w:bidi w:val="0"/>
      <w:spacing w:before="80" w:after="40" w:line="278" w:lineRule="auto"/>
      <w:outlineLvl w:val="3"/>
    </w:pPr>
    <w:rPr>
      <w:rFonts w:eastAsiaTheme="majorEastAsia" w:cstheme="majorBidi"/>
      <w:i/>
      <w:iCs/>
      <w:color w:val="2F5496" w:themeColor="accent1" w:themeShade="BF"/>
      <w:kern w:val="2"/>
      <w:sz w:val="24"/>
      <w:szCs w:val="24"/>
      <w:lang w:bidi="ar-SA"/>
      <w14:ligatures w14:val="standardContextual"/>
    </w:rPr>
  </w:style>
  <w:style w:type="paragraph" w:styleId="Heading5">
    <w:name w:val="heading 5"/>
    <w:basedOn w:val="Normal"/>
    <w:next w:val="Normal"/>
    <w:link w:val="Heading5Char"/>
    <w:uiPriority w:val="9"/>
    <w:semiHidden/>
    <w:unhideWhenUsed/>
    <w:qFormat/>
    <w:rsid w:val="00C536B8"/>
    <w:pPr>
      <w:keepNext/>
      <w:keepLines/>
      <w:bidi w:val="0"/>
      <w:spacing w:before="80" w:after="40" w:line="278" w:lineRule="auto"/>
      <w:outlineLvl w:val="4"/>
    </w:pPr>
    <w:rPr>
      <w:rFonts w:eastAsiaTheme="majorEastAsia" w:cstheme="majorBidi"/>
      <w:color w:val="2F5496" w:themeColor="accent1" w:themeShade="BF"/>
      <w:kern w:val="2"/>
      <w:sz w:val="24"/>
      <w:szCs w:val="24"/>
      <w:lang w:bidi="ar-SA"/>
      <w14:ligatures w14:val="standardContextual"/>
    </w:rPr>
  </w:style>
  <w:style w:type="paragraph" w:styleId="Heading6">
    <w:name w:val="heading 6"/>
    <w:basedOn w:val="Normal"/>
    <w:next w:val="Normal"/>
    <w:link w:val="Heading6Char"/>
    <w:uiPriority w:val="9"/>
    <w:semiHidden/>
    <w:unhideWhenUsed/>
    <w:qFormat/>
    <w:rsid w:val="00C536B8"/>
    <w:pPr>
      <w:keepNext/>
      <w:keepLines/>
      <w:bidi w:val="0"/>
      <w:spacing w:before="40" w:after="0" w:line="278" w:lineRule="auto"/>
      <w:outlineLvl w:val="5"/>
    </w:pPr>
    <w:rPr>
      <w:rFonts w:eastAsiaTheme="majorEastAsia" w:cstheme="majorBidi"/>
      <w:i/>
      <w:iCs/>
      <w:color w:val="595959" w:themeColor="text1" w:themeTint="A6"/>
      <w:kern w:val="2"/>
      <w:sz w:val="24"/>
      <w:szCs w:val="24"/>
      <w:lang w:bidi="ar-SA"/>
      <w14:ligatures w14:val="standardContextual"/>
    </w:rPr>
  </w:style>
  <w:style w:type="paragraph" w:styleId="Heading7">
    <w:name w:val="heading 7"/>
    <w:basedOn w:val="Normal"/>
    <w:next w:val="Normal"/>
    <w:link w:val="Heading7Char"/>
    <w:uiPriority w:val="9"/>
    <w:semiHidden/>
    <w:unhideWhenUsed/>
    <w:qFormat/>
    <w:rsid w:val="00C536B8"/>
    <w:pPr>
      <w:keepNext/>
      <w:keepLines/>
      <w:bidi w:val="0"/>
      <w:spacing w:before="40" w:after="0" w:line="278" w:lineRule="auto"/>
      <w:outlineLvl w:val="6"/>
    </w:pPr>
    <w:rPr>
      <w:rFonts w:eastAsiaTheme="majorEastAsia" w:cstheme="majorBidi"/>
      <w:color w:val="595959" w:themeColor="text1" w:themeTint="A6"/>
      <w:kern w:val="2"/>
      <w:sz w:val="24"/>
      <w:szCs w:val="24"/>
      <w:lang w:bidi="ar-SA"/>
      <w14:ligatures w14:val="standardContextual"/>
    </w:rPr>
  </w:style>
  <w:style w:type="paragraph" w:styleId="Heading8">
    <w:name w:val="heading 8"/>
    <w:basedOn w:val="Normal"/>
    <w:next w:val="Normal"/>
    <w:link w:val="Heading8Char"/>
    <w:uiPriority w:val="9"/>
    <w:semiHidden/>
    <w:unhideWhenUsed/>
    <w:qFormat/>
    <w:rsid w:val="00C536B8"/>
    <w:pPr>
      <w:keepNext/>
      <w:keepLines/>
      <w:bidi w:val="0"/>
      <w:spacing w:after="0" w:line="278" w:lineRule="auto"/>
      <w:outlineLvl w:val="7"/>
    </w:pPr>
    <w:rPr>
      <w:rFonts w:eastAsiaTheme="majorEastAsia" w:cstheme="majorBidi"/>
      <w:i/>
      <w:iCs/>
      <w:color w:val="272727" w:themeColor="text1" w:themeTint="D8"/>
      <w:kern w:val="2"/>
      <w:sz w:val="24"/>
      <w:szCs w:val="24"/>
      <w:lang w:bidi="ar-SA"/>
      <w14:ligatures w14:val="standardContextual"/>
    </w:rPr>
  </w:style>
  <w:style w:type="paragraph" w:styleId="Heading9">
    <w:name w:val="heading 9"/>
    <w:basedOn w:val="Normal"/>
    <w:next w:val="Normal"/>
    <w:link w:val="Heading9Char"/>
    <w:uiPriority w:val="9"/>
    <w:semiHidden/>
    <w:unhideWhenUsed/>
    <w:qFormat/>
    <w:rsid w:val="00C536B8"/>
    <w:pPr>
      <w:keepNext/>
      <w:keepLines/>
      <w:bidi w:val="0"/>
      <w:spacing w:after="0" w:line="278" w:lineRule="auto"/>
      <w:outlineLvl w:val="8"/>
    </w:pPr>
    <w:rPr>
      <w:rFonts w:eastAsiaTheme="majorEastAsia" w:cstheme="majorBidi"/>
      <w:color w:val="272727" w:themeColor="text1" w:themeTint="D8"/>
      <w:kern w:val="2"/>
      <w:sz w:val="24"/>
      <w:szCs w:val="24"/>
      <w:lang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36B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536B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536B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536B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536B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536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36B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36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36B8"/>
    <w:rPr>
      <w:rFonts w:eastAsiaTheme="majorEastAsia" w:cstheme="majorBidi"/>
      <w:color w:val="272727" w:themeColor="text1" w:themeTint="D8"/>
    </w:rPr>
  </w:style>
  <w:style w:type="paragraph" w:styleId="Title">
    <w:name w:val="Title"/>
    <w:basedOn w:val="Normal"/>
    <w:next w:val="Normal"/>
    <w:link w:val="TitleChar"/>
    <w:uiPriority w:val="10"/>
    <w:qFormat/>
    <w:rsid w:val="00C536B8"/>
    <w:pPr>
      <w:bidi w:val="0"/>
      <w:spacing w:after="80" w:line="240" w:lineRule="auto"/>
      <w:contextualSpacing/>
    </w:pPr>
    <w:rPr>
      <w:rFonts w:asciiTheme="majorHAnsi" w:eastAsiaTheme="majorEastAsia" w:hAnsiTheme="majorHAnsi" w:cstheme="majorBidi"/>
      <w:spacing w:val="-10"/>
      <w:kern w:val="28"/>
      <w:sz w:val="56"/>
      <w:szCs w:val="56"/>
      <w:lang w:bidi="ar-SA"/>
      <w14:ligatures w14:val="standardContextual"/>
    </w:rPr>
  </w:style>
  <w:style w:type="character" w:customStyle="1" w:styleId="TitleChar">
    <w:name w:val="Title Char"/>
    <w:basedOn w:val="DefaultParagraphFont"/>
    <w:link w:val="Title"/>
    <w:uiPriority w:val="10"/>
    <w:rsid w:val="00C536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36B8"/>
    <w:pPr>
      <w:numPr>
        <w:ilvl w:val="1"/>
      </w:numPr>
      <w:bidi w:val="0"/>
      <w:spacing w:line="278" w:lineRule="auto"/>
    </w:pPr>
    <w:rPr>
      <w:rFonts w:eastAsiaTheme="majorEastAsia" w:cstheme="majorBidi"/>
      <w:color w:val="595959" w:themeColor="text1" w:themeTint="A6"/>
      <w:spacing w:val="15"/>
      <w:kern w:val="2"/>
      <w:sz w:val="28"/>
      <w:szCs w:val="28"/>
      <w:lang w:bidi="ar-SA"/>
      <w14:ligatures w14:val="standardContextual"/>
    </w:rPr>
  </w:style>
  <w:style w:type="character" w:customStyle="1" w:styleId="SubtitleChar">
    <w:name w:val="Subtitle Char"/>
    <w:basedOn w:val="DefaultParagraphFont"/>
    <w:link w:val="Subtitle"/>
    <w:uiPriority w:val="11"/>
    <w:rsid w:val="00C536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36B8"/>
    <w:pPr>
      <w:bidi w:val="0"/>
      <w:spacing w:before="160" w:line="278" w:lineRule="auto"/>
      <w:jc w:val="center"/>
    </w:pPr>
    <w:rPr>
      <w:rFonts w:eastAsiaTheme="minorHAnsi"/>
      <w:i/>
      <w:iCs/>
      <w:color w:val="404040" w:themeColor="text1" w:themeTint="BF"/>
      <w:kern w:val="2"/>
      <w:sz w:val="24"/>
      <w:szCs w:val="24"/>
      <w:lang w:bidi="ar-SA"/>
      <w14:ligatures w14:val="standardContextual"/>
    </w:rPr>
  </w:style>
  <w:style w:type="character" w:customStyle="1" w:styleId="QuoteChar">
    <w:name w:val="Quote Char"/>
    <w:basedOn w:val="DefaultParagraphFont"/>
    <w:link w:val="Quote"/>
    <w:uiPriority w:val="29"/>
    <w:rsid w:val="00C536B8"/>
    <w:rPr>
      <w:i/>
      <w:iCs/>
      <w:color w:val="404040" w:themeColor="text1" w:themeTint="BF"/>
    </w:rPr>
  </w:style>
  <w:style w:type="paragraph" w:styleId="ListParagraph">
    <w:name w:val="List Paragraph"/>
    <w:basedOn w:val="Normal"/>
    <w:uiPriority w:val="34"/>
    <w:qFormat/>
    <w:rsid w:val="00C536B8"/>
    <w:pPr>
      <w:bidi w:val="0"/>
      <w:spacing w:line="278" w:lineRule="auto"/>
      <w:ind w:left="720"/>
      <w:contextualSpacing/>
    </w:pPr>
    <w:rPr>
      <w:rFonts w:eastAsiaTheme="minorHAnsi"/>
      <w:kern w:val="2"/>
      <w:sz w:val="24"/>
      <w:szCs w:val="24"/>
      <w:lang w:bidi="ar-SA"/>
      <w14:ligatures w14:val="standardContextual"/>
    </w:rPr>
  </w:style>
  <w:style w:type="character" w:styleId="IntenseEmphasis">
    <w:name w:val="Intense Emphasis"/>
    <w:basedOn w:val="DefaultParagraphFont"/>
    <w:uiPriority w:val="21"/>
    <w:qFormat/>
    <w:rsid w:val="00C536B8"/>
    <w:rPr>
      <w:i/>
      <w:iCs/>
      <w:color w:val="2F5496" w:themeColor="accent1" w:themeShade="BF"/>
    </w:rPr>
  </w:style>
  <w:style w:type="paragraph" w:styleId="IntenseQuote">
    <w:name w:val="Intense Quote"/>
    <w:basedOn w:val="Normal"/>
    <w:next w:val="Normal"/>
    <w:link w:val="IntenseQuoteChar"/>
    <w:uiPriority w:val="30"/>
    <w:qFormat/>
    <w:rsid w:val="00C536B8"/>
    <w:pPr>
      <w:pBdr>
        <w:top w:val="single" w:sz="4" w:space="10" w:color="2F5496" w:themeColor="accent1" w:themeShade="BF"/>
        <w:bottom w:val="single" w:sz="4" w:space="10" w:color="2F5496" w:themeColor="accent1" w:themeShade="BF"/>
      </w:pBdr>
      <w:bidi w:val="0"/>
      <w:spacing w:before="360" w:after="360" w:line="278" w:lineRule="auto"/>
      <w:ind w:left="864" w:right="864"/>
      <w:jc w:val="center"/>
    </w:pPr>
    <w:rPr>
      <w:rFonts w:eastAsiaTheme="minorHAnsi"/>
      <w:i/>
      <w:iCs/>
      <w:color w:val="2F5496" w:themeColor="accent1" w:themeShade="BF"/>
      <w:kern w:val="2"/>
      <w:sz w:val="24"/>
      <w:szCs w:val="24"/>
      <w:lang w:bidi="ar-SA"/>
      <w14:ligatures w14:val="standardContextual"/>
    </w:rPr>
  </w:style>
  <w:style w:type="character" w:customStyle="1" w:styleId="IntenseQuoteChar">
    <w:name w:val="Intense Quote Char"/>
    <w:basedOn w:val="DefaultParagraphFont"/>
    <w:link w:val="IntenseQuote"/>
    <w:uiPriority w:val="30"/>
    <w:rsid w:val="00C536B8"/>
    <w:rPr>
      <w:i/>
      <w:iCs/>
      <w:color w:val="2F5496" w:themeColor="accent1" w:themeShade="BF"/>
    </w:rPr>
  </w:style>
  <w:style w:type="character" w:styleId="IntenseReference">
    <w:name w:val="Intense Reference"/>
    <w:basedOn w:val="DefaultParagraphFont"/>
    <w:uiPriority w:val="32"/>
    <w:qFormat/>
    <w:rsid w:val="00C536B8"/>
    <w:rPr>
      <w:b/>
      <w:bCs/>
      <w:smallCaps/>
      <w:color w:val="2F5496" w:themeColor="accent1" w:themeShade="BF"/>
      <w:spacing w:val="5"/>
    </w:rPr>
  </w:style>
  <w:style w:type="character" w:customStyle="1" w:styleId="FootnoteTextChar">
    <w:name w:val="Footnote Text Char"/>
    <w:basedOn w:val="DefaultParagraphFont"/>
    <w:link w:val="FootnoteText"/>
    <w:uiPriority w:val="99"/>
    <w:semiHidden/>
    <w:rsid w:val="00C3483E"/>
    <w:rPr>
      <w:sz w:val="20"/>
      <w:szCs w:val="20"/>
    </w:rPr>
  </w:style>
  <w:style w:type="paragraph" w:styleId="FootnoteText">
    <w:name w:val="footnote text"/>
    <w:basedOn w:val="Normal"/>
    <w:link w:val="FootnoteTextChar"/>
    <w:uiPriority w:val="99"/>
    <w:semiHidden/>
    <w:unhideWhenUsed/>
    <w:rsid w:val="00C3483E"/>
    <w:pPr>
      <w:bidi w:val="0"/>
      <w:spacing w:after="0" w:line="240" w:lineRule="auto"/>
    </w:pPr>
    <w:rPr>
      <w:rFonts w:eastAsiaTheme="minorHAnsi"/>
      <w:kern w:val="2"/>
      <w:sz w:val="20"/>
      <w:szCs w:val="20"/>
      <w:lang w:bidi="ar-SA"/>
      <w14:ligatures w14:val="standardContextual"/>
    </w:rPr>
  </w:style>
  <w:style w:type="character" w:styleId="FootnoteReference">
    <w:name w:val="footnote reference"/>
    <w:basedOn w:val="DefaultParagraphFont"/>
    <w:uiPriority w:val="99"/>
    <w:semiHidden/>
    <w:unhideWhenUsed/>
    <w:rsid w:val="00C3483E"/>
    <w:rPr>
      <w:vertAlign w:val="superscript"/>
    </w:rPr>
  </w:style>
  <w:style w:type="paragraph" w:styleId="Header">
    <w:name w:val="header"/>
    <w:basedOn w:val="Normal"/>
    <w:link w:val="HeaderChar"/>
    <w:uiPriority w:val="99"/>
    <w:unhideWhenUsed/>
    <w:rsid w:val="002234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344C"/>
    <w:rPr>
      <w:rFonts w:eastAsiaTheme="minorEastAsia"/>
      <w:kern w:val="0"/>
      <w:sz w:val="22"/>
      <w:szCs w:val="22"/>
      <w:lang w:bidi="fa-IR"/>
      <w14:ligatures w14:val="none"/>
    </w:rPr>
  </w:style>
  <w:style w:type="paragraph" w:styleId="Footer">
    <w:name w:val="footer"/>
    <w:basedOn w:val="Normal"/>
    <w:link w:val="FooterChar"/>
    <w:uiPriority w:val="99"/>
    <w:unhideWhenUsed/>
    <w:rsid w:val="002234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344C"/>
    <w:rPr>
      <w:rFonts w:eastAsiaTheme="minorEastAsia"/>
      <w:kern w:val="0"/>
      <w:sz w:val="22"/>
      <w:szCs w:val="22"/>
      <w:lang w:bidi="fa-IR"/>
      <w14:ligatures w14:val="none"/>
    </w:rPr>
  </w:style>
  <w:style w:type="paragraph" w:styleId="NormalWeb">
    <w:name w:val="Normal (Web)"/>
    <w:basedOn w:val="Normal"/>
    <w:uiPriority w:val="99"/>
    <w:unhideWhenUsed/>
    <w:rsid w:val="004939EF"/>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Strong">
    <w:name w:val="Strong"/>
    <w:basedOn w:val="DefaultParagraphFont"/>
    <w:uiPriority w:val="22"/>
    <w:qFormat/>
    <w:rsid w:val="004939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573694">
      <w:bodyDiv w:val="1"/>
      <w:marLeft w:val="0"/>
      <w:marRight w:val="0"/>
      <w:marTop w:val="0"/>
      <w:marBottom w:val="0"/>
      <w:divBdr>
        <w:top w:val="none" w:sz="0" w:space="0" w:color="auto"/>
        <w:left w:val="none" w:sz="0" w:space="0" w:color="auto"/>
        <w:bottom w:val="none" w:sz="0" w:space="0" w:color="auto"/>
        <w:right w:val="none" w:sz="0" w:space="0" w:color="auto"/>
      </w:divBdr>
    </w:div>
    <w:div w:id="858198967">
      <w:bodyDiv w:val="1"/>
      <w:marLeft w:val="0"/>
      <w:marRight w:val="0"/>
      <w:marTop w:val="0"/>
      <w:marBottom w:val="0"/>
      <w:divBdr>
        <w:top w:val="none" w:sz="0" w:space="0" w:color="auto"/>
        <w:left w:val="none" w:sz="0" w:space="0" w:color="auto"/>
        <w:bottom w:val="none" w:sz="0" w:space="0" w:color="auto"/>
        <w:right w:val="none" w:sz="0" w:space="0" w:color="auto"/>
      </w:divBdr>
    </w:div>
    <w:div w:id="1093817911">
      <w:bodyDiv w:val="1"/>
      <w:marLeft w:val="0"/>
      <w:marRight w:val="0"/>
      <w:marTop w:val="0"/>
      <w:marBottom w:val="0"/>
      <w:divBdr>
        <w:top w:val="none" w:sz="0" w:space="0" w:color="auto"/>
        <w:left w:val="none" w:sz="0" w:space="0" w:color="auto"/>
        <w:bottom w:val="none" w:sz="0" w:space="0" w:color="auto"/>
        <w:right w:val="none" w:sz="0" w:space="0" w:color="auto"/>
      </w:divBdr>
    </w:div>
    <w:div w:id="157189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header" Target="header1.xml" /><Relationship Id="rId2" Type="http://schemas.openxmlformats.org/officeDocument/2006/relationships/styles" Target="styles.xml" /><Relationship Id="rId1" Type="http://schemas.openxmlformats.org/officeDocument/2006/relationships/customXml" Target="../customXml/item1.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Relationships>
</file>

<file path=word/_rels/header1.xml.rels><?xml version="1.0" encoding="UTF-8" standalone="yes"?>
<Relationships xmlns="http://schemas.openxmlformats.org/package/2006/relationships"><Relationship Id="rId1" Type="http://schemas.openxmlformats.org/officeDocument/2006/relationships/image" Target="media/image1.jp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59F53-C1FE-43ED-BF5E-8D9D76B2052D}">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2968</Words>
  <Characters>16922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dc:creator>
  <cp:keywords/>
  <dc:description/>
  <cp:lastModifiedBy>Guest User</cp:lastModifiedBy>
  <cp:revision>2</cp:revision>
  <dcterms:created xsi:type="dcterms:W3CDTF">2025-12-09T14:37:00Z</dcterms:created>
  <dcterms:modified xsi:type="dcterms:W3CDTF">2025-12-09T14:37:00Z</dcterms:modified>
</cp:coreProperties>
</file>