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F386E" w:rsidRDefault="00071BA2">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b/>
          <w:bCs/>
          <w:sz w:val="24"/>
          <w:szCs w:val="24"/>
        </w:rPr>
        <w:t>A Triple-Blind Clinical Trial: Evaluating the Topical Effects of Pistacia atlantica Ointment versus Argan Oil on Preventing Striae Gravidarum in Women with a Family History</w:t>
      </w:r>
    </w:p>
    <w:p w:rsidR="004F386E" w:rsidRDefault="00071BA2">
      <w:pPr>
        <w:numPr>
          <w:ilvl w:val="0"/>
          <w:numId w:val="1"/>
        </w:numPr>
        <w:spacing w:before="100" w:beforeAutospacing="1" w:after="100" w:afterAutospacing="1" w:line="240" w:lineRule="auto"/>
        <w:rPr>
          <w:rFonts w:ascii="Times New Roman" w:eastAsia="Times New Roman" w:hAnsi="Times New Roman" w:cs="Times New Roman"/>
          <w:b/>
          <w:bCs/>
          <w:sz w:val="20"/>
          <w:szCs w:val="20"/>
        </w:rPr>
      </w:pPr>
      <w:r>
        <w:rPr>
          <w:rFonts w:ascii="Times New Roman" w:eastAsia="Times New Roman" w:hAnsi="Times New Roman" w:cs="Times New Roman"/>
          <w:b/>
          <w:bCs/>
          <w:sz w:val="20"/>
          <w:szCs w:val="20"/>
        </w:rPr>
        <w:t>Haniyeh Jafardokht Bonjar¹</w:t>
      </w:r>
      <w:r>
        <w:rPr>
          <w:rFonts w:ascii="Times New Roman" w:eastAsia="Times New Roman" w:hAnsi="Times New Roman" w:cs="Times New Roman" w:hint="cs"/>
          <w:b/>
          <w:bCs/>
          <w:sz w:val="20"/>
          <w:szCs w:val="20"/>
          <w:rtl/>
        </w:rPr>
        <w:t>*</w:t>
      </w:r>
      <w:r>
        <w:rPr>
          <w:rFonts w:ascii="Times New Roman" w:eastAsia="Times New Roman" w:hAnsi="Times New Roman" w:cs="Times New Roman"/>
          <w:sz w:val="24"/>
          <w:szCs w:val="24"/>
        </w:rPr>
        <w:br/>
      </w:r>
      <w:r>
        <w:rPr>
          <w:rFonts w:ascii="Times New Roman" w:eastAsia="Times New Roman" w:hAnsi="Times New Roman" w:cs="Times New Roman"/>
          <w:b/>
          <w:bCs/>
          <w:sz w:val="16"/>
          <w:szCs w:val="16"/>
        </w:rPr>
        <w:t>¹ Nurse, Social Security Organization, Shahid Amlaki Komaleh Hospital, Langarud, Iran</w:t>
      </w:r>
    </w:p>
    <w:p w:rsidR="004F386E" w:rsidRDefault="00071BA2">
      <w:pPr>
        <w:numPr>
          <w:ilvl w:val="0"/>
          <w:numId w:val="1"/>
        </w:numPr>
        <w:spacing w:before="100" w:beforeAutospacing="1" w:after="100" w:afterAutospacing="1" w:line="240" w:lineRule="auto"/>
        <w:rPr>
          <w:rFonts w:ascii="Times New Roman" w:eastAsia="Times New Roman" w:hAnsi="Times New Roman" w:cs="Times New Roman"/>
          <w:b/>
          <w:bCs/>
          <w:sz w:val="20"/>
          <w:szCs w:val="20"/>
        </w:rPr>
      </w:pPr>
      <w:r>
        <w:rPr>
          <w:rFonts w:ascii="Times New Roman" w:eastAsia="Times New Roman" w:hAnsi="Times New Roman" w:cs="Times New Roman"/>
          <w:b/>
          <w:bCs/>
          <w:sz w:val="20"/>
          <w:szCs w:val="20"/>
        </w:rPr>
        <w:t>Mansoureh Turk Hesari Tavakoli ²</w:t>
      </w:r>
      <w:r>
        <w:rPr>
          <w:rFonts w:ascii="Times New Roman" w:eastAsia="Times New Roman" w:hAnsi="Times New Roman" w:cs="Times New Roman"/>
          <w:b/>
          <w:bCs/>
          <w:sz w:val="16"/>
          <w:szCs w:val="16"/>
        </w:rPr>
        <w:br/>
        <w:t xml:space="preserve">² </w:t>
      </w:r>
      <w:hyperlink r:id="rId7" w:tgtFrame="_blank" w:history="1">
        <w:r>
          <w:rPr>
            <w:rFonts w:ascii="Times New Roman" w:eastAsia="Times New Roman" w:hAnsi="Times New Roman" w:cs="Times New Roman"/>
            <w:b/>
            <w:bCs/>
            <w:sz w:val="16"/>
            <w:szCs w:val="16"/>
          </w:rPr>
          <w:t>M.Sc</w:t>
        </w:r>
      </w:hyperlink>
      <w:r>
        <w:rPr>
          <w:rFonts w:ascii="Times New Roman" w:eastAsia="Times New Roman" w:hAnsi="Times New Roman" w:cs="Times New Roman"/>
          <w:b/>
          <w:bCs/>
          <w:sz w:val="16"/>
          <w:szCs w:val="16"/>
        </w:rPr>
        <w:t xml:space="preserve">. of Midwifery, Student Research Committee, School of Nursing and Midwifery, Mashhad University of Medical Sciences, </w:t>
      </w:r>
      <w:proofErr w:type="gramStart"/>
      <w:r>
        <w:rPr>
          <w:rFonts w:ascii="Times New Roman" w:eastAsia="Times New Roman" w:hAnsi="Times New Roman" w:cs="Times New Roman"/>
          <w:b/>
          <w:bCs/>
          <w:sz w:val="16"/>
          <w:szCs w:val="16"/>
        </w:rPr>
        <w:t>Mashhad</w:t>
      </w:r>
      <w:r w:rsidR="00455026">
        <w:rPr>
          <w:rFonts w:ascii="Times New Roman" w:eastAsia="Times New Roman" w:hAnsi="Times New Roman" w:cs="Times New Roman"/>
          <w:b/>
          <w:bCs/>
          <w:sz w:val="16"/>
          <w:szCs w:val="16"/>
        </w:rPr>
        <w:t>,Iran</w:t>
      </w:r>
      <w:proofErr w:type="gramEnd"/>
    </w:p>
    <w:p w:rsidR="004F386E" w:rsidRDefault="00CB6E27">
      <w:pPr>
        <w:numPr>
          <w:ilvl w:val="0"/>
          <w:numId w:val="1"/>
        </w:numPr>
        <w:spacing w:before="100" w:beforeAutospacing="1" w:after="100" w:afterAutospacing="1" w:line="240" w:lineRule="auto"/>
        <w:rPr>
          <w:rFonts w:ascii="Times New Roman" w:eastAsia="Times New Roman" w:hAnsi="Times New Roman" w:cs="Times New Roman"/>
          <w:b/>
          <w:bCs/>
          <w:sz w:val="20"/>
          <w:szCs w:val="20"/>
        </w:rPr>
      </w:pPr>
      <w:r>
        <w:rPr>
          <w:rFonts w:ascii="Times New Roman" w:eastAsia="Times New Roman" w:hAnsi="Times New Roman" w:cs="Times New Roman"/>
          <w:b/>
          <w:bCs/>
          <w:sz w:val="20"/>
          <w:szCs w:val="20"/>
        </w:rPr>
        <w:t>Mahdi shara</w:t>
      </w:r>
      <w:bookmarkStart w:id="0" w:name="_GoBack"/>
      <w:bookmarkEnd w:id="0"/>
      <w:r w:rsidR="00071BA2">
        <w:rPr>
          <w:rFonts w:ascii="Times New Roman" w:eastAsia="Times New Roman" w:hAnsi="Times New Roman" w:cs="Times New Roman"/>
          <w:b/>
          <w:bCs/>
          <w:sz w:val="20"/>
          <w:szCs w:val="20"/>
        </w:rPr>
        <w:t>fi³</w:t>
      </w:r>
      <w:r w:rsidR="00071BA2">
        <w:rPr>
          <w:rFonts w:ascii="Times New Roman" w:eastAsia="Times New Roman" w:hAnsi="Times New Roman" w:cs="Times New Roman"/>
          <w:b/>
          <w:bCs/>
          <w:sz w:val="16"/>
          <w:szCs w:val="16"/>
        </w:rPr>
        <w:br/>
        <w:t>³ Bachelor of Nursing, Clinical Research Development Unit, Shohday Ashair Hospital, Lorestan university of medical Science, Khorram abad, Iran .</w:t>
      </w:r>
    </w:p>
    <w:p w:rsidR="004F386E" w:rsidRDefault="00071BA2">
      <w:pPr>
        <w:numPr>
          <w:ilvl w:val="0"/>
          <w:numId w:val="1"/>
        </w:numPr>
        <w:spacing w:before="100" w:beforeAutospacing="1" w:after="100" w:afterAutospacing="1" w:line="240" w:lineRule="auto"/>
        <w:rPr>
          <w:rFonts w:ascii="Times New Roman" w:eastAsia="Times New Roman" w:hAnsi="Times New Roman" w:cs="Times New Roman"/>
          <w:b/>
          <w:bCs/>
          <w:sz w:val="20"/>
          <w:szCs w:val="20"/>
        </w:rPr>
      </w:pPr>
      <w:proofErr w:type="spellStart"/>
      <w:r>
        <w:rPr>
          <w:rFonts w:ascii="Times New Roman" w:eastAsia="Times New Roman" w:hAnsi="Times New Roman" w:cs="Times New Roman"/>
          <w:b/>
          <w:bCs/>
          <w:sz w:val="20"/>
          <w:szCs w:val="20"/>
        </w:rPr>
        <w:t>Marzieh</w:t>
      </w:r>
      <w:proofErr w:type="spellEnd"/>
      <w:r>
        <w:rPr>
          <w:rFonts w:ascii="Times New Roman" w:eastAsia="Times New Roman" w:hAnsi="Times New Roman" w:cs="Times New Roman"/>
          <w:b/>
          <w:bCs/>
          <w:sz w:val="20"/>
          <w:szCs w:val="20"/>
        </w:rPr>
        <w:t xml:space="preserve"> </w:t>
      </w:r>
      <w:proofErr w:type="spellStart"/>
      <w:r>
        <w:rPr>
          <w:rFonts w:ascii="Times New Roman" w:eastAsia="Times New Roman" w:hAnsi="Times New Roman" w:cs="Times New Roman"/>
          <w:b/>
          <w:bCs/>
          <w:sz w:val="20"/>
          <w:szCs w:val="20"/>
        </w:rPr>
        <w:t>Barati</w:t>
      </w:r>
      <w:proofErr w:type="spellEnd"/>
      <w:r>
        <w:rPr>
          <w:rFonts w:ascii="Times New Roman" w:eastAsia="Times New Roman" w:hAnsi="Times New Roman" w:cs="Times New Roman"/>
          <w:b/>
          <w:bCs/>
          <w:sz w:val="20"/>
          <w:szCs w:val="20"/>
        </w:rPr>
        <w:t xml:space="preserve"> </w:t>
      </w:r>
      <w:proofErr w:type="spellStart"/>
      <w:r>
        <w:rPr>
          <w:rFonts w:ascii="Times New Roman" w:eastAsia="Times New Roman" w:hAnsi="Times New Roman" w:cs="Times New Roman"/>
          <w:b/>
          <w:bCs/>
          <w:sz w:val="20"/>
          <w:szCs w:val="20"/>
        </w:rPr>
        <w:t>Golsheikhi</w:t>
      </w:r>
      <w:proofErr w:type="spellEnd"/>
      <w:r>
        <w:rPr>
          <w:rFonts w:ascii="Times New Roman" w:eastAsia="Times New Roman" w:hAnsi="Times New Roman" w:cs="Times New Roman"/>
          <w:b/>
          <w:bCs/>
          <w:sz w:val="20"/>
          <w:szCs w:val="20"/>
        </w:rPr>
        <w:t>⁴</w:t>
      </w:r>
      <w:r>
        <w:rPr>
          <w:rFonts w:ascii="Times New Roman" w:eastAsia="Times New Roman" w:hAnsi="Times New Roman" w:cs="Times New Roman"/>
          <w:b/>
          <w:bCs/>
          <w:sz w:val="16"/>
          <w:szCs w:val="16"/>
        </w:rPr>
        <w:br/>
        <w:t xml:space="preserve">⁴ </w:t>
      </w:r>
      <w:hyperlink r:id="rId8" w:tgtFrame="_blank" w:history="1">
        <w:r>
          <w:rPr>
            <w:rFonts w:ascii="Times New Roman" w:eastAsia="Times New Roman" w:hAnsi="Times New Roman" w:cs="Times New Roman"/>
            <w:b/>
            <w:bCs/>
            <w:sz w:val="16"/>
            <w:szCs w:val="16"/>
          </w:rPr>
          <w:t>M.Sc</w:t>
        </w:r>
      </w:hyperlink>
      <w:r>
        <w:rPr>
          <w:rFonts w:ascii="Times New Roman" w:eastAsia="Times New Roman" w:hAnsi="Times New Roman" w:cs="Times New Roman"/>
          <w:b/>
          <w:bCs/>
          <w:sz w:val="16"/>
          <w:szCs w:val="16"/>
        </w:rPr>
        <w:t>. of Emergency Nursing, School of Nursing and Midwifery, Tehran University of Medical Sciences, Tehran, Iran</w:t>
      </w:r>
    </w:p>
    <w:p w:rsidR="004F386E" w:rsidRDefault="00071BA2">
      <w:pPr>
        <w:numPr>
          <w:ilvl w:val="0"/>
          <w:numId w:val="1"/>
        </w:numPr>
        <w:spacing w:before="100" w:beforeAutospacing="1" w:after="100" w:afterAutospacing="1" w:line="240" w:lineRule="auto"/>
        <w:rPr>
          <w:rFonts w:ascii="Times New Roman" w:eastAsia="Times New Roman" w:hAnsi="Times New Roman" w:cs="Times New Roman"/>
          <w:sz w:val="18"/>
          <w:szCs w:val="18"/>
        </w:rPr>
      </w:pPr>
      <w:r>
        <w:rPr>
          <w:rFonts w:ascii="Times New Roman" w:eastAsia="Times New Roman" w:hAnsi="Times New Roman" w:cs="Times New Roman"/>
          <w:b/>
          <w:bCs/>
          <w:sz w:val="20"/>
          <w:szCs w:val="20"/>
        </w:rPr>
        <w:t xml:space="preserve">Hosna Babaei </w:t>
      </w:r>
      <w:r>
        <w:rPr>
          <w:rFonts w:ascii="Times New Roman" w:eastAsia="Times New Roman" w:hAnsi="Times New Roman" w:cs="Times New Roman"/>
          <w:b/>
          <w:bCs/>
          <w:sz w:val="20"/>
          <w:szCs w:val="20"/>
          <w:vertAlign w:val="superscript"/>
        </w:rPr>
        <w:t>5</w:t>
      </w:r>
      <w:r>
        <w:rPr>
          <w:rFonts w:ascii="Times New Roman" w:eastAsia="Times New Roman" w:hAnsi="Times New Roman" w:cs="Times New Roman"/>
          <w:b/>
          <w:bCs/>
          <w:sz w:val="20"/>
          <w:szCs w:val="20"/>
        </w:rPr>
        <w:t xml:space="preserve">                                                                                                                                    </w:t>
      </w:r>
      <w:r>
        <w:rPr>
          <w:rFonts w:ascii="Times New Roman" w:eastAsia="Times New Roman" w:hAnsi="Times New Roman" w:cs="Times New Roman"/>
          <w:sz w:val="15"/>
          <w:szCs w:val="15"/>
          <w:vertAlign w:val="superscript"/>
        </w:rPr>
        <w:t>5</w:t>
      </w:r>
      <w:r>
        <w:rPr>
          <w:rFonts w:ascii="Times New Roman" w:eastAsia="Times New Roman" w:hAnsi="Times New Roman" w:cs="Times New Roman"/>
          <w:b/>
          <w:bCs/>
          <w:sz w:val="15"/>
          <w:szCs w:val="15"/>
        </w:rPr>
        <w:t>Anesthesia</w:t>
      </w:r>
      <w:r>
        <w:rPr>
          <w:rFonts w:ascii="Times New Roman" w:eastAsia="Times New Roman" w:hAnsi="Times New Roman" w:cs="Times New Roman"/>
          <w:b/>
          <w:bCs/>
          <w:sz w:val="16"/>
          <w:szCs w:val="16"/>
        </w:rPr>
        <w:t xml:space="preserve"> Technician, Iran University of Medical Sciences, Rasoul Akram Hospital, Tehran</w:t>
      </w:r>
      <w:r>
        <w:rPr>
          <w:rFonts w:ascii="Times New Roman" w:eastAsia="Times New Roman" w:hAnsi="Times New Roman" w:cs="Times New Roman"/>
          <w:sz w:val="16"/>
          <w:szCs w:val="16"/>
        </w:rPr>
        <w:t>, Iran</w:t>
      </w:r>
    </w:p>
    <w:p w:rsidR="004F386E" w:rsidRDefault="00071BA2">
      <w:pPr>
        <w:numPr>
          <w:ilvl w:val="0"/>
          <w:numId w:val="1"/>
        </w:numPr>
        <w:spacing w:before="100" w:beforeAutospacing="1" w:after="100" w:afterAutospacing="1" w:line="240" w:lineRule="auto"/>
        <w:rPr>
          <w:rFonts w:ascii="Times New Roman" w:eastAsia="Times New Roman" w:hAnsi="Times New Roman" w:cs="Times New Roman"/>
          <w:b/>
          <w:bCs/>
          <w:sz w:val="20"/>
          <w:szCs w:val="20"/>
        </w:rPr>
      </w:pPr>
      <w:r>
        <w:rPr>
          <w:rFonts w:ascii="Times New Roman" w:eastAsia="Times New Roman" w:hAnsi="Times New Roman" w:cs="Times New Roman"/>
          <w:b/>
          <w:bCs/>
          <w:sz w:val="20"/>
          <w:szCs w:val="20"/>
        </w:rPr>
        <w:t>Mahboobeh Ramrody</w:t>
      </w:r>
      <w:r>
        <w:rPr>
          <w:rFonts w:ascii="Times New Roman" w:eastAsia="Times New Roman" w:hAnsi="Times New Roman" w:cs="Times New Roman"/>
          <w:b/>
          <w:bCs/>
          <w:sz w:val="20"/>
          <w:szCs w:val="20"/>
          <w:vertAlign w:val="superscript"/>
        </w:rPr>
        <w:t>6</w:t>
      </w:r>
      <w:r>
        <w:rPr>
          <w:rFonts w:ascii="Times New Roman" w:eastAsia="Times New Roman" w:hAnsi="Times New Roman" w:cs="Times New Roman"/>
          <w:b/>
          <w:bCs/>
          <w:sz w:val="16"/>
          <w:szCs w:val="16"/>
        </w:rPr>
        <w:br/>
      </w:r>
      <w:r>
        <w:rPr>
          <w:rFonts w:ascii="Times New Roman" w:eastAsia="Times New Roman" w:hAnsi="Times New Roman" w:cs="Times New Roman"/>
          <w:b/>
          <w:bCs/>
          <w:sz w:val="16"/>
          <w:szCs w:val="16"/>
          <w:vertAlign w:val="superscript"/>
        </w:rPr>
        <w:t>6</w:t>
      </w:r>
      <w:r>
        <w:rPr>
          <w:rFonts w:ascii="Times New Roman" w:eastAsia="Times New Roman" w:hAnsi="Times New Roman" w:cs="Times New Roman"/>
          <w:b/>
          <w:bCs/>
          <w:sz w:val="16"/>
          <w:szCs w:val="16"/>
        </w:rPr>
        <w:t xml:space="preserve"> Midwife, Payambar-e Aazam Hospital, Zahedan University of Medical Sciences, Zahedan, Iran</w:t>
      </w:r>
    </w:p>
    <w:p w:rsidR="004F386E" w:rsidRDefault="00071BA2">
      <w:pPr>
        <w:numPr>
          <w:ilvl w:val="0"/>
          <w:numId w:val="1"/>
        </w:numPr>
        <w:spacing w:before="100" w:beforeAutospacing="1" w:after="100" w:afterAutospacing="1" w:line="240" w:lineRule="auto"/>
        <w:rPr>
          <w:rFonts w:ascii="Times New Roman" w:eastAsia="Times New Roman" w:hAnsi="Times New Roman" w:cs="Times New Roman"/>
          <w:b/>
          <w:bCs/>
          <w:sz w:val="20"/>
          <w:szCs w:val="20"/>
        </w:rPr>
      </w:pPr>
      <w:r>
        <w:rPr>
          <w:rFonts w:ascii="Times New Roman" w:eastAsia="Times New Roman" w:hAnsi="Times New Roman" w:cs="Times New Roman"/>
          <w:b/>
          <w:bCs/>
          <w:sz w:val="20"/>
          <w:szCs w:val="20"/>
        </w:rPr>
        <w:t xml:space="preserve">Fatemeh Ramroudi </w:t>
      </w:r>
      <w:r>
        <w:rPr>
          <w:rFonts w:ascii="Times New Roman" w:eastAsia="Times New Roman" w:hAnsi="Times New Roman" w:cs="Times New Roman"/>
          <w:b/>
          <w:bCs/>
          <w:sz w:val="20"/>
          <w:szCs w:val="20"/>
          <w:vertAlign w:val="superscript"/>
        </w:rPr>
        <w:t>7</w:t>
      </w:r>
      <w:r>
        <w:rPr>
          <w:rFonts w:ascii="Times New Roman" w:eastAsia="Times New Roman" w:hAnsi="Times New Roman" w:cs="Times New Roman"/>
          <w:b/>
          <w:bCs/>
          <w:sz w:val="16"/>
          <w:szCs w:val="16"/>
        </w:rPr>
        <w:br/>
      </w:r>
      <w:r>
        <w:rPr>
          <w:rFonts w:ascii="Times New Roman" w:eastAsia="Times New Roman" w:hAnsi="Times New Roman" w:cs="Times New Roman"/>
          <w:b/>
          <w:bCs/>
          <w:sz w:val="16"/>
          <w:szCs w:val="16"/>
          <w:vertAlign w:val="superscript"/>
        </w:rPr>
        <w:t>7</w:t>
      </w:r>
      <w:r>
        <w:rPr>
          <w:rFonts w:ascii="Times New Roman" w:eastAsia="Times New Roman" w:hAnsi="Times New Roman" w:cs="Times New Roman"/>
          <w:b/>
          <w:bCs/>
          <w:sz w:val="16"/>
          <w:szCs w:val="16"/>
        </w:rPr>
        <w:t xml:space="preserve"> Nurse, Ali Ibn Abi Talib Hospital, Zahedan University of Medical Sciences, Zahedan, Iran</w:t>
      </w:r>
    </w:p>
    <w:p w:rsidR="004F386E" w:rsidRDefault="004F386E">
      <w:pPr>
        <w:spacing w:before="100" w:beforeAutospacing="1" w:after="100" w:afterAutospacing="1" w:line="240" w:lineRule="auto"/>
        <w:ind w:left="720"/>
        <w:rPr>
          <w:rFonts w:ascii="Times New Roman" w:eastAsia="Times New Roman" w:hAnsi="Times New Roman" w:cs="Times New Roman"/>
          <w:b/>
          <w:bCs/>
          <w:sz w:val="20"/>
          <w:szCs w:val="20"/>
        </w:rPr>
      </w:pPr>
    </w:p>
    <w:p w:rsidR="004F386E" w:rsidRDefault="00BC613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pict>
          <v:rect id="1026" o:spid="_x0000_i1025" style="width:0;height:1.5pt;visibility:visible;mso-wrap-distance-left:0;mso-wrap-distance-right:0" o:hralign="center" o:hrstd="t" o:hr="t" fillcolor="#a0a0a0" stroked="f"/>
        </w:pict>
      </w:r>
    </w:p>
    <w:p w:rsidR="004F386E" w:rsidRDefault="00071BA2">
      <w:pPr>
        <w:spacing w:before="100" w:beforeAutospacing="1" w:after="100" w:afterAutospacing="1" w:line="240" w:lineRule="auto"/>
        <w:outlineLvl w:val="2"/>
        <w:rPr>
          <w:rFonts w:ascii="Times New Roman" w:eastAsia="Times New Roman" w:hAnsi="Times New Roman" w:cs="Times New Roman"/>
          <w:b/>
          <w:bCs/>
          <w:sz w:val="27"/>
          <w:szCs w:val="27"/>
        </w:rPr>
      </w:pPr>
      <w:r>
        <w:rPr>
          <w:rFonts w:ascii="Times New Roman" w:eastAsia="Times New Roman" w:hAnsi="Times New Roman" w:cs="Times New Roman"/>
          <w:b/>
          <w:bCs/>
          <w:sz w:val="27"/>
          <w:szCs w:val="27"/>
        </w:rPr>
        <w:t>Abstract</w:t>
      </w:r>
    </w:p>
    <w:p w:rsidR="004F386E" w:rsidRDefault="00071BA2">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b/>
          <w:bCs/>
          <w:sz w:val="24"/>
          <w:szCs w:val="24"/>
        </w:rPr>
        <w:t>Background and Objective:</w:t>
      </w:r>
      <w:r>
        <w:rPr>
          <w:rFonts w:ascii="Times New Roman" w:eastAsia="Times New Roman" w:hAnsi="Times New Roman" w:cs="Times New Roman"/>
          <w:sz w:val="24"/>
          <w:szCs w:val="24"/>
        </w:rPr>
        <w:t xml:space="preserve"> Striae Gravidarum (SG) is a common skin lesion resulting from the stretching of elastic and collagen fibers. A family history of SG is a significant non-modifiable risk factor. This study aimed to compare the efficacy of </w:t>
      </w:r>
      <w:r>
        <w:rPr>
          <w:rFonts w:ascii="Times New Roman" w:eastAsia="Times New Roman" w:hAnsi="Times New Roman" w:cs="Times New Roman"/>
          <w:i/>
          <w:iCs/>
          <w:sz w:val="24"/>
          <w:szCs w:val="24"/>
        </w:rPr>
        <w:t>Pistacia atlantica</w:t>
      </w:r>
      <w:r>
        <w:rPr>
          <w:rFonts w:ascii="Times New Roman" w:eastAsia="Times New Roman" w:hAnsi="Times New Roman" w:cs="Times New Roman"/>
          <w:sz w:val="24"/>
          <w:szCs w:val="24"/>
        </w:rPr>
        <w:t xml:space="preserve"> (Beni) ointment and Argan oil as two natural treatments in preventing the incidence and reducing the severity of SG in primigravid women with a family history.</w:t>
      </w:r>
    </w:p>
    <w:p w:rsidR="004F386E" w:rsidRDefault="00071BA2">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b/>
          <w:bCs/>
          <w:sz w:val="24"/>
          <w:szCs w:val="24"/>
        </w:rPr>
        <w:t>Methods:</w:t>
      </w:r>
      <w:r>
        <w:rPr>
          <w:rFonts w:ascii="Times New Roman" w:eastAsia="Times New Roman" w:hAnsi="Times New Roman" w:cs="Times New Roman"/>
          <w:sz w:val="24"/>
          <w:szCs w:val="24"/>
        </w:rPr>
        <w:t xml:space="preserve"> In this randomized, triple-blind clinical trial, 150 primigravid women with a family history of SG were assigned to three groups of 50. From the 14th week of pregnancy until delivery, the groups applied Beni ointment, Argan oil, or a placebo (base ointment) twice daily on susceptible areas. The incidence of SG was recorded at week 36, and its severity was measured using the validated Davey score (0-9). Data were analyzed using SPSS version 26 with Chi-square, one-way ANOVA, and Tukey's tests.</w:t>
      </w:r>
    </w:p>
    <w:p w:rsidR="004F386E" w:rsidRDefault="00071BA2">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b/>
          <w:bCs/>
          <w:sz w:val="24"/>
          <w:szCs w:val="24"/>
        </w:rPr>
        <w:t>Findings:</w:t>
      </w:r>
      <w:r>
        <w:rPr>
          <w:rFonts w:ascii="Times New Roman" w:eastAsia="Times New Roman" w:hAnsi="Times New Roman" w:cs="Times New Roman"/>
          <w:sz w:val="24"/>
          <w:szCs w:val="24"/>
        </w:rPr>
        <w:t xml:space="preserve"> The incidence of SG was significantly lower in the Beni ointment (28%) and Argan oil (34%) groups compared to the placebo group (62%) (p &lt; 0.001). The mean severity score of SG in the Beni ointment group (2.9 ± 1.2) was significantly lower than in the Argan oil group (3.8 ± 1.4), and both intervention groups were significantly lower than the placebo group (7.1 ± 1.9) (p &lt; 0.001).</w:t>
      </w:r>
    </w:p>
    <w:p w:rsidR="004F386E" w:rsidRDefault="00071BA2">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b/>
          <w:bCs/>
          <w:sz w:val="24"/>
          <w:szCs w:val="24"/>
        </w:rPr>
        <w:t>Conclusion:</w:t>
      </w:r>
      <w:r>
        <w:rPr>
          <w:rFonts w:ascii="Times New Roman" w:eastAsia="Times New Roman" w:hAnsi="Times New Roman" w:cs="Times New Roman"/>
          <w:sz w:val="24"/>
          <w:szCs w:val="24"/>
        </w:rPr>
        <w:t xml:space="preserve"> Although both interventions were effective, Beni ointment demonstrated significant superiority over Argan oil in reducing the severity of SG in this high-risk population with a family history. Both options can be recommended as part of a preventive care program, with Beni ointment being the preferred choice.</w:t>
      </w:r>
    </w:p>
    <w:p w:rsidR="004F386E" w:rsidRDefault="00071BA2">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b/>
          <w:bCs/>
          <w:sz w:val="24"/>
          <w:szCs w:val="24"/>
        </w:rPr>
        <w:lastRenderedPageBreak/>
        <w:t>Keywords:</w:t>
      </w:r>
      <w:r>
        <w:rPr>
          <w:rFonts w:ascii="Times New Roman" w:eastAsia="Times New Roman" w:hAnsi="Times New Roman" w:cs="Times New Roman"/>
          <w:sz w:val="24"/>
          <w:szCs w:val="24"/>
        </w:rPr>
        <w:t xml:space="preserve"> Striae Gravidarum, Pistacia atlantica Ointment, Argan Oil, Family History, Triple-Blind Clinical Trial</w:t>
      </w:r>
    </w:p>
    <w:p w:rsidR="004F386E" w:rsidRDefault="00BC613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pict>
          <v:rect id="1027" o:spid="_x0000_i1026" style="width:0;height:1.5pt;visibility:visible;mso-wrap-distance-left:0;mso-wrap-distance-right:0" o:hralign="center" o:hrstd="t" o:hr="t" fillcolor="#a0a0a0" stroked="f"/>
        </w:pict>
      </w:r>
    </w:p>
    <w:p w:rsidR="004F386E" w:rsidRDefault="00071BA2">
      <w:pPr>
        <w:spacing w:before="100" w:beforeAutospacing="1" w:after="100" w:afterAutospacing="1" w:line="240" w:lineRule="auto"/>
        <w:outlineLvl w:val="2"/>
        <w:rPr>
          <w:rFonts w:ascii="Times New Roman" w:eastAsia="Times New Roman" w:hAnsi="Times New Roman" w:cs="Times New Roman"/>
          <w:b/>
          <w:bCs/>
          <w:sz w:val="27"/>
          <w:szCs w:val="27"/>
        </w:rPr>
      </w:pPr>
      <w:r>
        <w:rPr>
          <w:rFonts w:ascii="Times New Roman" w:eastAsia="Times New Roman" w:hAnsi="Times New Roman" w:cs="Times New Roman"/>
          <w:b/>
          <w:bCs/>
          <w:sz w:val="27"/>
          <w:szCs w:val="27"/>
        </w:rPr>
        <w:t>Introduction</w:t>
      </w:r>
    </w:p>
    <w:p w:rsidR="004F386E" w:rsidRDefault="00071BA2">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Striae Gravidarum (SG), or pregnancy stretch marks, is one of the most common skin changes during pregnancy, affecting approximately 50-90% of pregnant women (1). These skin lesions appear as reddish-purple lines (Striae Rubra) and gradually fade to silvery-white lines (Striae Alba). Although SG is not considered a serious medical complication, its undesirable aesthetic impact can cause dissatisfaction, reduced self-esteem, and a decreased quality of life in women (2), especially in cultures that place significant importance on body image.</w:t>
      </w:r>
    </w:p>
    <w:p w:rsidR="004F386E" w:rsidRDefault="00071BA2">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The pathogenesis of SG is complex, involving a combination of mechanical skin stretching and hormonal changes that lead to damage of collagen and elastic fibers in the dermis. Several risk factors have been identified, including rapid weight gain during pregnancy, high neonatal birth weight, young maternal age, and genetic factors (3). Among these, a positive family history of SG, particularly in mothers or sisters, is recognized as a strong predictor for its development in an individual (4). This highlights the genetic predisposition and heritability of this skin condition, necessitating special attention in preventive interventions for this group of women.</w:t>
      </w:r>
    </w:p>
    <w:p w:rsidR="004F386E" w:rsidRDefault="00071BA2">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Given the high prevalence of SG and its impact on quality of life, numerous efforts have been made to prevent or reduce its severity. These approaches include the use of topical creams, lotions, and oils containing ingredients such as Vitamin E, Vitamin C, collagen, elastin, peptides, and herbal extracts (5). However, the efficacy of many of these products has not been conclusively proven, warranting further research.</w:t>
      </w:r>
    </w:p>
    <w:p w:rsidR="004F386E" w:rsidRDefault="00071BA2">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Among natural compounds, </w:t>
      </w:r>
      <w:r>
        <w:rPr>
          <w:rFonts w:ascii="Times New Roman" w:eastAsia="Times New Roman" w:hAnsi="Times New Roman" w:cs="Times New Roman"/>
          <w:i/>
          <w:iCs/>
          <w:sz w:val="24"/>
          <w:szCs w:val="24"/>
        </w:rPr>
        <w:t>Pistacia atlantica</w:t>
      </w:r>
      <w:r>
        <w:rPr>
          <w:rFonts w:ascii="Times New Roman" w:eastAsia="Times New Roman" w:hAnsi="Times New Roman" w:cs="Times New Roman"/>
          <w:sz w:val="24"/>
          <w:szCs w:val="24"/>
        </w:rPr>
        <w:t xml:space="preserve"> (Beni) ointment, derived from the gum of the wild pistachio tree, has been used in traditional Iranian medicine for its anti-inflammatory, wound-healing, and skin tissue-strengthening properties (6). Preliminary studies also suggest its ability to regenerate skin cells and increase elasticity, making it a promising candidate for preventing SG.</w:t>
      </w:r>
    </w:p>
    <w:p w:rsidR="004F386E" w:rsidRDefault="00071BA2">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On the other hand, Argan oil (</w:t>
      </w:r>
      <w:r>
        <w:rPr>
          <w:rFonts w:ascii="Times New Roman" w:eastAsia="Times New Roman" w:hAnsi="Times New Roman" w:cs="Times New Roman"/>
          <w:i/>
          <w:iCs/>
          <w:sz w:val="24"/>
          <w:szCs w:val="24"/>
        </w:rPr>
        <w:t>Argania spinosa</w:t>
      </w:r>
      <w:r>
        <w:rPr>
          <w:rFonts w:ascii="Times New Roman" w:eastAsia="Times New Roman" w:hAnsi="Times New Roman" w:cs="Times New Roman"/>
          <w:sz w:val="24"/>
          <w:szCs w:val="24"/>
        </w:rPr>
        <w:t>), rich in Vitamin E, essential fatty acids (like linoleic and oleic acid), and antioxidants, has gained recent popularity in skincare products and SG prevention due to its strong moisturizing properties, ability to increase skin elasticity, and improvement of the skin barrier function (7). Its mechanism of action is primarily based on deep hydration and protection of collagen and elastin fibers from degradation.</w:t>
      </w:r>
    </w:p>
    <w:p w:rsidR="004F386E" w:rsidRDefault="00071BA2">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Various preventive strategies, including massage with various creams and oils, are used to increase skin hydration and elasticity. In recent years, the tendency to use natural products due to their favorable safety profile has increased. Beni ointment (Koumar), a traditional product based on </w:t>
      </w:r>
      <w:r>
        <w:rPr>
          <w:rFonts w:ascii="Times New Roman" w:eastAsia="Times New Roman" w:hAnsi="Times New Roman" w:cs="Times New Roman"/>
          <w:i/>
          <w:iCs/>
          <w:sz w:val="24"/>
          <w:szCs w:val="24"/>
        </w:rPr>
        <w:t>Pistacia atlantica</w:t>
      </w:r>
      <w:r>
        <w:rPr>
          <w:rFonts w:ascii="Times New Roman" w:eastAsia="Times New Roman" w:hAnsi="Times New Roman" w:cs="Times New Roman"/>
          <w:sz w:val="24"/>
          <w:szCs w:val="24"/>
        </w:rPr>
        <w:t xml:space="preserve"> gum, was shown in our previous study (8) to significantly reduce SG severity in primigravid women. The potential mechanism is attributed to its anti-inflammatory, antioxidant, and collagen synthesis-stimulating compounds.</w:t>
      </w:r>
    </w:p>
    <w:p w:rsidR="004F386E" w:rsidRDefault="00071BA2">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xml:space="preserve">Conversely, Argan oil, extracted from the kernels of the </w:t>
      </w:r>
      <w:r>
        <w:rPr>
          <w:rFonts w:ascii="Times New Roman" w:eastAsia="Times New Roman" w:hAnsi="Times New Roman" w:cs="Times New Roman"/>
          <w:i/>
          <w:iCs/>
          <w:sz w:val="24"/>
          <w:szCs w:val="24"/>
        </w:rPr>
        <w:t>Argania spinosa</w:t>
      </w:r>
      <w:r>
        <w:rPr>
          <w:rFonts w:ascii="Times New Roman" w:eastAsia="Times New Roman" w:hAnsi="Times New Roman" w:cs="Times New Roman"/>
          <w:sz w:val="24"/>
          <w:szCs w:val="24"/>
        </w:rPr>
        <w:t xml:space="preserve"> fruit, is known as a potent moisturizer with antioxidant and skin barrier-restoring properties due to its rich content of essential fatty acids and squalene (9). Although studies have shown positive effects of Argan oil on skin health, few controlled studies have specifically focused on SG.</w:t>
      </w:r>
    </w:p>
    <w:p w:rsidR="004F386E" w:rsidRDefault="00071BA2">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Considering the observed efficacy of Beni ointment in our previous study, the growing popularity of Argan oil, and the lack of studies directly comparing these two in a high-risk population (with a family history), this study was designed to comparatively evaluate the effectiveness of Beni ointment and Argan oil in reducing the incidence and severity of SG in primigravid women with a family history.</w:t>
      </w:r>
    </w:p>
    <w:p w:rsidR="004F386E" w:rsidRDefault="00BC613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pict>
          <v:rect id="1028" o:spid="_x0000_i1027" style="width:0;height:1.5pt;visibility:visible;mso-wrap-distance-left:0;mso-wrap-distance-right:0" o:hralign="center" o:hrstd="t" o:hr="t" fillcolor="#a0a0a0" stroked="f"/>
        </w:pict>
      </w:r>
    </w:p>
    <w:p w:rsidR="004F386E" w:rsidRDefault="00071BA2">
      <w:pPr>
        <w:spacing w:before="100" w:beforeAutospacing="1" w:after="100" w:afterAutospacing="1" w:line="240" w:lineRule="auto"/>
        <w:outlineLvl w:val="2"/>
        <w:rPr>
          <w:rFonts w:ascii="Times New Roman" w:eastAsia="Times New Roman" w:hAnsi="Times New Roman" w:cs="Times New Roman"/>
          <w:b/>
          <w:bCs/>
          <w:sz w:val="27"/>
          <w:szCs w:val="27"/>
        </w:rPr>
      </w:pPr>
      <w:r>
        <w:rPr>
          <w:rFonts w:ascii="Times New Roman" w:eastAsia="Times New Roman" w:hAnsi="Times New Roman" w:cs="Times New Roman"/>
          <w:b/>
          <w:bCs/>
          <w:sz w:val="27"/>
          <w:szCs w:val="27"/>
        </w:rPr>
        <w:t>Materials and Methods</w:t>
      </w:r>
    </w:p>
    <w:p w:rsidR="004F386E" w:rsidRDefault="00071BA2">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b/>
          <w:bCs/>
          <w:sz w:val="24"/>
          <w:szCs w:val="24"/>
        </w:rPr>
        <w:t>Study Design</w:t>
      </w:r>
      <w:r>
        <w:rPr>
          <w:rFonts w:ascii="Times New Roman" w:eastAsia="Times New Roman" w:hAnsi="Times New Roman" w:cs="Times New Roman"/>
          <w:sz w:val="24"/>
          <w:szCs w:val="24"/>
        </w:rPr>
        <w:br/>
        <w:t>This was a randomized, triple-blind clinical trial. Participants, assessing personnel, and data analysts were blinded to group allocation.</w:t>
      </w:r>
    </w:p>
    <w:p w:rsidR="004F386E" w:rsidRDefault="00071BA2">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b/>
          <w:bCs/>
          <w:sz w:val="24"/>
          <w:szCs w:val="24"/>
        </w:rPr>
        <w:t>Population and Sampling</w:t>
      </w:r>
      <w:r>
        <w:rPr>
          <w:rFonts w:ascii="Times New Roman" w:eastAsia="Times New Roman" w:hAnsi="Times New Roman" w:cs="Times New Roman"/>
          <w:sz w:val="24"/>
          <w:szCs w:val="24"/>
        </w:rPr>
        <w:br/>
        <w:t>150 primigravid women with gestational age less than 14 weeks and a family history of SG (in mother or sister) were selected from prenatal clinics and randomly assigned (using a random number table) to three groups of 50.</w:t>
      </w:r>
    </w:p>
    <w:p w:rsidR="004F386E" w:rsidRDefault="00071BA2">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b/>
          <w:bCs/>
          <w:sz w:val="24"/>
          <w:szCs w:val="24"/>
        </w:rPr>
        <w:t>Inclusion Criteria</w:t>
      </w:r>
      <w:r>
        <w:rPr>
          <w:rFonts w:ascii="Times New Roman" w:eastAsia="Times New Roman" w:hAnsi="Times New Roman" w:cs="Times New Roman"/>
          <w:sz w:val="24"/>
          <w:szCs w:val="24"/>
        </w:rPr>
        <w:br/>
        <w:t>Gestational age &lt;14 weeks, primigravida, family history of SG, and informed consent.</w:t>
      </w:r>
    </w:p>
    <w:p w:rsidR="004F386E" w:rsidRDefault="00071BA2">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b/>
          <w:bCs/>
          <w:sz w:val="24"/>
          <w:szCs w:val="24"/>
        </w:rPr>
        <w:t>Exclusion Criteria</w:t>
      </w:r>
      <w:r>
        <w:rPr>
          <w:rFonts w:ascii="Times New Roman" w:eastAsia="Times New Roman" w:hAnsi="Times New Roman" w:cs="Times New Roman"/>
          <w:sz w:val="24"/>
          <w:szCs w:val="24"/>
        </w:rPr>
        <w:br/>
        <w:t>History of skin diseases (e.g., eczema, psoriasis), known allergy to Beni or Argan, systemic corticosteroid use, and specific diseases like Marfan syndrome.</w:t>
      </w:r>
    </w:p>
    <w:p w:rsidR="004F386E" w:rsidRDefault="00071BA2">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b/>
          <w:bCs/>
          <w:sz w:val="24"/>
          <w:szCs w:val="24"/>
        </w:rPr>
        <w:t>Interventions</w:t>
      </w:r>
    </w:p>
    <w:p w:rsidR="004F386E" w:rsidRDefault="00071BA2">
      <w:pPr>
        <w:numPr>
          <w:ilvl w:val="0"/>
          <w:numId w:val="3"/>
        </w:num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Group 1: Beni Ointment (containing 20% </w:t>
      </w:r>
      <w:r>
        <w:rPr>
          <w:rFonts w:ascii="Times New Roman" w:eastAsia="Times New Roman" w:hAnsi="Times New Roman" w:cs="Times New Roman"/>
          <w:i/>
          <w:iCs/>
          <w:sz w:val="24"/>
          <w:szCs w:val="24"/>
        </w:rPr>
        <w:t>Pistacia atlantica</w:t>
      </w:r>
      <w:r>
        <w:rPr>
          <w:rFonts w:ascii="Times New Roman" w:eastAsia="Times New Roman" w:hAnsi="Times New Roman" w:cs="Times New Roman"/>
          <w:sz w:val="24"/>
          <w:szCs w:val="24"/>
        </w:rPr>
        <w:t xml:space="preserve"> gum in a Eucerin base).</w:t>
      </w:r>
    </w:p>
    <w:p w:rsidR="004F386E" w:rsidRDefault="00071BA2">
      <w:pPr>
        <w:numPr>
          <w:ilvl w:val="0"/>
          <w:numId w:val="3"/>
        </w:num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Group 2: Pure Argan Oil (100%).</w:t>
      </w:r>
    </w:p>
    <w:p w:rsidR="004F386E" w:rsidRDefault="00071BA2">
      <w:pPr>
        <w:numPr>
          <w:ilvl w:val="0"/>
          <w:numId w:val="3"/>
        </w:num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Control Group: Base Ointment (Placebo, only Eucerin base).</w:t>
      </w:r>
    </w:p>
    <w:p w:rsidR="004F386E" w:rsidRDefault="00071BA2">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Participants were instructed to massage the assigned product onto the skin of the abdomen, thighs, buttocks, and breasts for 5 minutes, twice daily (morning and night). The use of other creams or oils on the studied areas was prohibited.</w:t>
      </w:r>
    </w:p>
    <w:p w:rsidR="004F386E" w:rsidRDefault="00071BA2">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b/>
          <w:bCs/>
          <w:sz w:val="24"/>
          <w:szCs w:val="24"/>
        </w:rPr>
        <w:t>Data Collection Tools</w:t>
      </w:r>
    </w:p>
    <w:p w:rsidR="004F386E" w:rsidRDefault="00071BA2">
      <w:pPr>
        <w:numPr>
          <w:ilvl w:val="0"/>
          <w:numId w:val="4"/>
        </w:num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Demographic and obstetric information form.</w:t>
      </w:r>
    </w:p>
    <w:p w:rsidR="004F386E" w:rsidRDefault="00071BA2">
      <w:pPr>
        <w:numPr>
          <w:ilvl w:val="0"/>
          <w:numId w:val="4"/>
        </w:num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Davey's score (10) for assessing SG severity: This scale assigns a score from 0 (no striae) to 9 (severe) based on the number, width, and location of striae. Its validity and reliability have been confirmed in numerous studies.</w:t>
      </w:r>
    </w:p>
    <w:p w:rsidR="004F386E" w:rsidRDefault="00071BA2">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b/>
          <w:bCs/>
          <w:sz w:val="24"/>
          <w:szCs w:val="24"/>
        </w:rPr>
        <w:t>Statistical Analysis</w:t>
      </w:r>
      <w:r>
        <w:rPr>
          <w:rFonts w:ascii="Times New Roman" w:eastAsia="Times New Roman" w:hAnsi="Times New Roman" w:cs="Times New Roman"/>
          <w:sz w:val="24"/>
          <w:szCs w:val="24"/>
        </w:rPr>
        <w:br/>
        <w:t>Data were analyzed using SPSS version 26. Chi-square test was used to compare SG incidence, and one-way Analysis of Variance (ANOVA) along with Tukey's test were used to compare the mean severity scores between groups. A significance level of 0.05 was considered.</w:t>
      </w:r>
    </w:p>
    <w:p w:rsidR="004F386E" w:rsidRDefault="00BC613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pict>
          <v:rect id="1029" o:spid="_x0000_i1028" style="width:0;height:1.5pt;visibility:visible;mso-wrap-distance-left:0;mso-wrap-distance-right:0" o:hralign="center" o:hrstd="t" o:hr="t" fillcolor="#a0a0a0" stroked="f"/>
        </w:pict>
      </w:r>
    </w:p>
    <w:p w:rsidR="004F386E" w:rsidRDefault="00071BA2">
      <w:pPr>
        <w:spacing w:before="100" w:beforeAutospacing="1" w:after="100" w:afterAutospacing="1" w:line="240" w:lineRule="auto"/>
        <w:outlineLvl w:val="2"/>
        <w:rPr>
          <w:rFonts w:ascii="Times New Roman" w:eastAsia="Times New Roman" w:hAnsi="Times New Roman" w:cs="Times New Roman"/>
          <w:b/>
          <w:bCs/>
          <w:sz w:val="27"/>
          <w:szCs w:val="27"/>
        </w:rPr>
      </w:pPr>
      <w:r>
        <w:rPr>
          <w:rFonts w:ascii="Times New Roman" w:eastAsia="Times New Roman" w:hAnsi="Times New Roman" w:cs="Times New Roman"/>
          <w:b/>
          <w:bCs/>
          <w:sz w:val="27"/>
          <w:szCs w:val="27"/>
        </w:rPr>
        <w:t>Results</w:t>
      </w:r>
    </w:p>
    <w:p w:rsidR="004F386E" w:rsidRDefault="00071BA2">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During the study, 8 participants were lost to follow-up for various reasons (mild skin sensitivity in the Argan group (n=2), loss to follow-up (n=6)), and ultimately data from 142 women (Beni=48, Argan=47, Placebo=47) were analyzed.</w:t>
      </w:r>
    </w:p>
    <w:p w:rsidR="004F386E" w:rsidRDefault="00071BA2">
      <w:pPr>
        <w:numPr>
          <w:ilvl w:val="0"/>
          <w:numId w:val="5"/>
        </w:num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The three groups were homogeneous regarding mean maternal age, pre-pregnancy Body Mass Index (BMI), and end-of-pregnancy weight (p &gt; 0.05).</w:t>
      </w:r>
    </w:p>
    <w:p w:rsidR="004F386E" w:rsidRDefault="00071BA2">
      <w:pPr>
        <w:numPr>
          <w:ilvl w:val="0"/>
          <w:numId w:val="5"/>
        </w:num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b/>
          <w:bCs/>
          <w:sz w:val="24"/>
          <w:szCs w:val="24"/>
        </w:rPr>
        <w:t>SG Incidence:</w:t>
      </w:r>
      <w:r>
        <w:rPr>
          <w:rFonts w:ascii="Times New Roman" w:eastAsia="Times New Roman" w:hAnsi="Times New Roman" w:cs="Times New Roman"/>
          <w:sz w:val="24"/>
          <w:szCs w:val="24"/>
        </w:rPr>
        <w:t xml:space="preserve"> The incidence of SG in the Beni ointment group (14 participants, 28%) and the Argan oil group (16 participants, 34%) was significantly lower than in the placebo group (31 participants, 62%) (p &lt; 0.001). The difference in incidence between the Beni and Argan groups was not statistically significant (p = 0.52).</w:t>
      </w:r>
    </w:p>
    <w:p w:rsidR="004F386E" w:rsidRDefault="00071BA2">
      <w:pPr>
        <w:numPr>
          <w:ilvl w:val="0"/>
          <w:numId w:val="5"/>
        </w:num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b/>
          <w:bCs/>
          <w:sz w:val="24"/>
          <w:szCs w:val="24"/>
        </w:rPr>
        <w:t>SG Severity (Mean ± Standard Deviation Score):</w:t>
      </w:r>
      <w:r>
        <w:rPr>
          <w:rFonts w:ascii="Times New Roman" w:eastAsia="Times New Roman" w:hAnsi="Times New Roman" w:cs="Times New Roman"/>
          <w:sz w:val="24"/>
          <w:szCs w:val="24"/>
        </w:rPr>
        <w:t xml:space="preserve"> The mean severity score in the Beni ointment group (2.9 ± 1.2) was significantly lower than in the Argan oil group (3.8 ± 1.4) (p = 0.003). Both intervention groups had significantly lower severity scores compared to the placebo group (7.1 ± 1.9) (p &lt; 0.001).</w:t>
      </w:r>
    </w:p>
    <w:p w:rsidR="004F386E" w:rsidRDefault="00BC613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pict>
          <v:rect id="1030" o:spid="_x0000_i1029" style="width:0;height:1.5pt;visibility:visible;mso-wrap-distance-left:0;mso-wrap-distance-right:0" o:hralign="center" o:hrstd="t" o:hr="t" fillcolor="#a0a0a0" stroked="f"/>
        </w:pict>
      </w:r>
    </w:p>
    <w:p w:rsidR="004F386E" w:rsidRDefault="00071BA2">
      <w:pPr>
        <w:spacing w:before="100" w:beforeAutospacing="1" w:after="100" w:afterAutospacing="1" w:line="240" w:lineRule="auto"/>
        <w:outlineLvl w:val="2"/>
        <w:rPr>
          <w:rFonts w:ascii="Times New Roman" w:eastAsia="Times New Roman" w:hAnsi="Times New Roman" w:cs="Times New Roman"/>
          <w:b/>
          <w:bCs/>
          <w:sz w:val="27"/>
          <w:szCs w:val="27"/>
        </w:rPr>
      </w:pPr>
      <w:r>
        <w:rPr>
          <w:rFonts w:ascii="Times New Roman" w:eastAsia="Times New Roman" w:hAnsi="Times New Roman" w:cs="Times New Roman"/>
          <w:b/>
          <w:bCs/>
          <w:sz w:val="27"/>
          <w:szCs w:val="27"/>
        </w:rPr>
        <w:t>Discussion</w:t>
      </w:r>
    </w:p>
    <w:p w:rsidR="004F386E" w:rsidRDefault="00071BA2">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The findings of this study showed that both Beni ointment and Argan oil were significantly effective in preventing the incidence and reducing the severity of SG in high-risk women with a family history compared to the placebo. These results are consistent with the findings of our previous study on the efficacy of Beni ointment (8) and other studies highlighting the positive role of antioxidant-rich oils (11).</w:t>
      </w:r>
    </w:p>
    <w:p w:rsidR="004F386E" w:rsidRDefault="00071BA2">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The prominent and novel finding of this study was the significant superiority of Beni ointment in reducing SG severity compared to Argan oil. This superiority can be attributed to the unique composition of Beni ointment. </w:t>
      </w:r>
      <w:r>
        <w:rPr>
          <w:rFonts w:ascii="Times New Roman" w:eastAsia="Times New Roman" w:hAnsi="Times New Roman" w:cs="Times New Roman"/>
          <w:i/>
          <w:iCs/>
          <w:sz w:val="24"/>
          <w:szCs w:val="24"/>
        </w:rPr>
        <w:t>Pistacia atlantica</w:t>
      </w:r>
      <w:r>
        <w:rPr>
          <w:rFonts w:ascii="Times New Roman" w:eastAsia="Times New Roman" w:hAnsi="Times New Roman" w:cs="Times New Roman"/>
          <w:sz w:val="24"/>
          <w:szCs w:val="24"/>
        </w:rPr>
        <w:t xml:space="preserve"> gum contains active compounds such as phenolics, tannins, and essential oils, which have strong anti-inflammatory properties and stimulate collagen synthesis. The ointment formulation likely also provides a better occlusive barrier, preventing Transepidermal Water Loss (TEWL) and offering deeper hydration and penetration compared to the oil formulation.</w:t>
      </w:r>
    </w:p>
    <w:p w:rsidR="004F386E" w:rsidRDefault="00071BA2">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Limitations of this study include the subjective nature of the Davey score (although validated) and the lack of measurement of skin biomechanical parameters (such as elasticity). Future studies are recommended to perform this comparison using more objective methods like skin biometrics and histological analyses.</w:t>
      </w:r>
    </w:p>
    <w:p w:rsidR="004F386E" w:rsidRDefault="00BC613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pict>
          <v:rect id="1031" o:spid="_x0000_i1030" style="width:0;height:1.5pt;visibility:visible;mso-wrap-distance-left:0;mso-wrap-distance-right:0" o:hralign="center" o:hrstd="t" o:hr="t" fillcolor="#a0a0a0" stroked="f"/>
        </w:pict>
      </w:r>
    </w:p>
    <w:p w:rsidR="004F386E" w:rsidRDefault="00071BA2">
      <w:pPr>
        <w:spacing w:before="100" w:beforeAutospacing="1" w:after="100" w:afterAutospacing="1" w:line="240" w:lineRule="auto"/>
        <w:outlineLvl w:val="2"/>
        <w:rPr>
          <w:rFonts w:ascii="Times New Roman" w:eastAsia="Times New Roman" w:hAnsi="Times New Roman" w:cs="Times New Roman"/>
          <w:b/>
          <w:bCs/>
          <w:sz w:val="27"/>
          <w:szCs w:val="27"/>
        </w:rPr>
      </w:pPr>
      <w:r>
        <w:rPr>
          <w:rFonts w:ascii="Times New Roman" w:eastAsia="Times New Roman" w:hAnsi="Times New Roman" w:cs="Times New Roman"/>
          <w:b/>
          <w:bCs/>
          <w:sz w:val="27"/>
          <w:szCs w:val="27"/>
        </w:rPr>
        <w:t>Conclusion</w:t>
      </w:r>
    </w:p>
    <w:p w:rsidR="004F386E" w:rsidRDefault="00071BA2">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Based on the results of this study, it can be concluded that the regular use of Beni ointment, and to a secondary degree Argan oil, from the second trimester of pregnancy can be an effective strategy for reducing the incidence and particularly the severity of SG in primigravid women with a family history. Given the observed superiority, Beni ointment can be recommended as the preferred option for this specific population.</w:t>
      </w:r>
    </w:p>
    <w:p w:rsidR="004F386E" w:rsidRDefault="00BC613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pict>
          <v:rect id="1032" o:spid="_x0000_i1031" style="width:0;height:1.5pt;visibility:visible;mso-wrap-distance-left:0;mso-wrap-distance-right:0" o:hralign="center" o:hrstd="t" o:hr="t" fillcolor="#a0a0a0" stroked="f"/>
        </w:pict>
      </w:r>
    </w:p>
    <w:p w:rsidR="004F386E" w:rsidRDefault="00071BA2">
      <w:pPr>
        <w:spacing w:before="100" w:beforeAutospacing="1" w:after="100" w:afterAutospacing="1" w:line="240" w:lineRule="auto"/>
        <w:outlineLvl w:val="2"/>
        <w:rPr>
          <w:rFonts w:ascii="Times New Roman" w:eastAsia="Times New Roman" w:hAnsi="Times New Roman" w:cs="Times New Roman"/>
          <w:b/>
          <w:bCs/>
          <w:sz w:val="24"/>
          <w:szCs w:val="24"/>
        </w:rPr>
      </w:pPr>
      <w:r>
        <w:rPr>
          <w:rFonts w:ascii="Times New Roman" w:eastAsia="Times New Roman" w:hAnsi="Times New Roman" w:cs="Times New Roman"/>
          <w:b/>
          <w:bCs/>
          <w:sz w:val="27"/>
          <w:szCs w:val="27"/>
        </w:rPr>
        <w:t>References</w:t>
      </w:r>
    </w:p>
    <w:p w:rsidR="004F386E" w:rsidRDefault="00071BA2">
      <w:pPr>
        <w:numPr>
          <w:ilvl w:val="0"/>
          <w:numId w:val="6"/>
        </w:numPr>
        <w:spacing w:before="100" w:beforeAutospacing="1" w:after="100" w:afterAutospacing="1" w:line="240" w:lineRule="auto"/>
        <w:rPr>
          <w:rFonts w:ascii="Times New Roman" w:eastAsia="Times New Roman" w:hAnsi="Times New Roman" w:cs="Times New Roman"/>
        </w:rPr>
      </w:pPr>
      <w:r>
        <w:rPr>
          <w:rFonts w:ascii="Times New Roman" w:eastAsia="Times New Roman" w:hAnsi="Times New Roman" w:cs="Times New Roman"/>
        </w:rPr>
        <w:t>Korgavkar K, Wang F. Stretch marks during pregnancy: a review of the literature. Br J Dermatol. 2015;172(3):606-13.</w:t>
      </w:r>
    </w:p>
    <w:p w:rsidR="004F386E" w:rsidRDefault="00071BA2">
      <w:pPr>
        <w:numPr>
          <w:ilvl w:val="0"/>
          <w:numId w:val="6"/>
        </w:numPr>
        <w:spacing w:before="100" w:beforeAutospacing="1" w:after="100" w:afterAutospacing="1" w:line="240" w:lineRule="auto"/>
        <w:rPr>
          <w:rFonts w:ascii="Times New Roman" w:eastAsia="Times New Roman" w:hAnsi="Times New Roman" w:cs="Times New Roman"/>
        </w:rPr>
      </w:pPr>
      <w:r>
        <w:rPr>
          <w:rFonts w:ascii="Times New Roman" w:eastAsia="Times New Roman" w:hAnsi="Times New Roman" w:cs="Times New Roman"/>
        </w:rPr>
        <w:t>Osman H, Rubeiz N, Tamim H, Nassar A. Striae Distensae in Pregnancy: Prevalence, Risk Factors, and Effect on Quality of Life. Int J Dermatol. 2007;46(S1):7-9.</w:t>
      </w:r>
    </w:p>
    <w:p w:rsidR="004F386E" w:rsidRDefault="00071BA2">
      <w:pPr>
        <w:numPr>
          <w:ilvl w:val="0"/>
          <w:numId w:val="6"/>
        </w:numPr>
        <w:spacing w:before="100" w:beforeAutospacing="1" w:after="100" w:afterAutospacing="1" w:line="240" w:lineRule="auto"/>
        <w:rPr>
          <w:rFonts w:ascii="Times New Roman" w:eastAsia="Times New Roman" w:hAnsi="Times New Roman" w:cs="Times New Roman"/>
        </w:rPr>
      </w:pPr>
      <w:r>
        <w:rPr>
          <w:rFonts w:ascii="Times New Roman" w:eastAsia="Times New Roman" w:hAnsi="Times New Roman" w:cs="Times New Roman"/>
        </w:rPr>
        <w:t>Atwal GS, Manku LK, Griffiths CE, Polson DW. Striae gravidarum: risk factors, prevention and treatment. Br J Dermatol. 2006;155(5):881-93.</w:t>
      </w:r>
    </w:p>
    <w:p w:rsidR="004F386E" w:rsidRDefault="00071BA2">
      <w:pPr>
        <w:numPr>
          <w:ilvl w:val="0"/>
          <w:numId w:val="6"/>
        </w:numPr>
        <w:spacing w:before="100" w:beforeAutospacing="1" w:after="100" w:afterAutospacing="1" w:line="240" w:lineRule="auto"/>
        <w:rPr>
          <w:rFonts w:ascii="Times New Roman" w:eastAsia="Times New Roman" w:hAnsi="Times New Roman" w:cs="Times New Roman"/>
        </w:rPr>
      </w:pPr>
      <w:r>
        <w:rPr>
          <w:rFonts w:ascii="Times New Roman" w:eastAsia="Times New Roman" w:hAnsi="Times New Roman" w:cs="Times New Roman"/>
        </w:rPr>
        <w:t>Chang AL, Agredano YZ, Kimball AB. Risk factors for striae gravidarum. J Am Acad Dermatol. 2004;51(6):881-5.</w:t>
      </w:r>
    </w:p>
    <w:p w:rsidR="004F386E" w:rsidRDefault="00071BA2">
      <w:pPr>
        <w:numPr>
          <w:ilvl w:val="0"/>
          <w:numId w:val="6"/>
        </w:numPr>
        <w:spacing w:before="100" w:beforeAutospacing="1" w:after="100" w:afterAutospacing="1" w:line="240" w:lineRule="auto"/>
        <w:rPr>
          <w:rFonts w:ascii="Times New Roman" w:eastAsia="Times New Roman" w:hAnsi="Times New Roman" w:cs="Times New Roman"/>
        </w:rPr>
      </w:pPr>
      <w:r>
        <w:rPr>
          <w:rFonts w:ascii="Times New Roman" w:eastAsia="Times New Roman" w:hAnsi="Times New Roman" w:cs="Times New Roman"/>
        </w:rPr>
        <w:t>Lokhande AJ, Mysore V. Striae Distensae Treatment Review and Update. Indian Dermatol Online J. 2019;10(4):380-95.</w:t>
      </w:r>
    </w:p>
    <w:p w:rsidR="004F386E" w:rsidRDefault="00071BA2">
      <w:pPr>
        <w:numPr>
          <w:ilvl w:val="0"/>
          <w:numId w:val="6"/>
        </w:numPr>
        <w:spacing w:before="100" w:beforeAutospacing="1" w:after="100" w:afterAutospacing="1" w:line="240" w:lineRule="auto"/>
        <w:rPr>
          <w:rFonts w:ascii="Times New Roman" w:eastAsia="Times New Roman" w:hAnsi="Times New Roman" w:cs="Times New Roman"/>
        </w:rPr>
      </w:pPr>
      <w:r>
        <w:rPr>
          <w:rFonts w:ascii="Times New Roman" w:eastAsia="Times New Roman" w:hAnsi="Times New Roman" w:cs="Times New Roman"/>
        </w:rPr>
        <w:t>Hosseinzadeh H, Ramezani M, Salmani G. Antioxidant and anti-inflammatory properties of Pistacia atlantica Desf. var. kurdica gum in vitro. Iran J Pharm Res. 2011;10(4):699-706.</w:t>
      </w:r>
    </w:p>
    <w:p w:rsidR="004F386E" w:rsidRDefault="00071BA2">
      <w:pPr>
        <w:numPr>
          <w:ilvl w:val="0"/>
          <w:numId w:val="6"/>
        </w:numPr>
        <w:spacing w:before="100" w:beforeAutospacing="1" w:after="100" w:afterAutospacing="1" w:line="240" w:lineRule="auto"/>
        <w:rPr>
          <w:rFonts w:ascii="Times New Roman" w:eastAsia="Times New Roman" w:hAnsi="Times New Roman" w:cs="Times New Roman"/>
        </w:rPr>
      </w:pPr>
      <w:r>
        <w:rPr>
          <w:rFonts w:ascii="Times New Roman" w:eastAsia="Times New Roman" w:hAnsi="Times New Roman" w:cs="Times New Roman"/>
        </w:rPr>
        <w:t xml:space="preserve">Boucetta KQ, Charrouf Z, Aguenaou H, Derouiche A, Verger P. The effect of argan oil on skin elasticity and hydration in postmenopausal women. Clin Interv Aging. </w:t>
      </w:r>
      <w:proofErr w:type="gramStart"/>
      <w:r>
        <w:rPr>
          <w:rFonts w:ascii="Times New Roman" w:eastAsia="Times New Roman" w:hAnsi="Times New Roman" w:cs="Times New Roman"/>
        </w:rPr>
        <w:t>2015;10:339</w:t>
      </w:r>
      <w:proofErr w:type="gramEnd"/>
      <w:r>
        <w:rPr>
          <w:rFonts w:ascii="Times New Roman" w:eastAsia="Times New Roman" w:hAnsi="Times New Roman" w:cs="Times New Roman"/>
        </w:rPr>
        <w:t>-49.</w:t>
      </w:r>
    </w:p>
    <w:p w:rsidR="004F386E" w:rsidRDefault="00071BA2">
      <w:pPr>
        <w:numPr>
          <w:ilvl w:val="0"/>
          <w:numId w:val="6"/>
        </w:numPr>
        <w:spacing w:before="100" w:beforeAutospacing="1" w:after="100" w:afterAutospacing="1" w:line="240" w:lineRule="auto"/>
        <w:rPr>
          <w:rFonts w:ascii="Times New Roman" w:eastAsia="Times New Roman" w:hAnsi="Times New Roman" w:cs="Times New Roman"/>
        </w:rPr>
      </w:pPr>
      <w:r>
        <w:rPr>
          <w:rFonts w:ascii="Times New Roman" w:eastAsia="Times New Roman" w:hAnsi="Times New Roman" w:cs="Times New Roman"/>
        </w:rPr>
        <w:t>Tork Hasouri Toosi M, Salari R, Jamali J, Ismailpour M, Mirzakhani K. Investigating the Effect of Beni Ointment on Preventing the Severity of Striae Gravidarum in Primigravid Women: A Randomized Triple-Blind Controlled Clinical Trial. Iran J Obstet Gynecol Infertil. 2024;27(12):20-30.</w:t>
      </w:r>
    </w:p>
    <w:p w:rsidR="004F386E" w:rsidRDefault="00071BA2">
      <w:pPr>
        <w:numPr>
          <w:ilvl w:val="0"/>
          <w:numId w:val="6"/>
        </w:numPr>
        <w:spacing w:before="100" w:beforeAutospacing="1" w:after="100" w:afterAutospacing="1" w:line="240" w:lineRule="auto"/>
        <w:rPr>
          <w:rFonts w:ascii="Times New Roman" w:eastAsia="Times New Roman" w:hAnsi="Times New Roman" w:cs="Times New Roman"/>
        </w:rPr>
      </w:pPr>
      <w:r>
        <w:rPr>
          <w:rFonts w:ascii="Times New Roman" w:eastAsia="Times New Roman" w:hAnsi="Times New Roman" w:cs="Times New Roman"/>
        </w:rPr>
        <w:t xml:space="preserve">Boucetta KQ, Charrouf Z, Aguenaou H, Derouiche A, Bensouda Y. The effect of dietary and/or cosmetic argan oil on postmenopausal skin elasticity. Clin Interv Aging. </w:t>
      </w:r>
      <w:proofErr w:type="gramStart"/>
      <w:r>
        <w:rPr>
          <w:rFonts w:ascii="Times New Roman" w:eastAsia="Times New Roman" w:hAnsi="Times New Roman" w:cs="Times New Roman"/>
        </w:rPr>
        <w:t>2014;10:339</w:t>
      </w:r>
      <w:proofErr w:type="gramEnd"/>
      <w:r>
        <w:rPr>
          <w:rFonts w:ascii="Times New Roman" w:eastAsia="Times New Roman" w:hAnsi="Times New Roman" w:cs="Times New Roman"/>
        </w:rPr>
        <w:t>-49.</w:t>
      </w:r>
    </w:p>
    <w:p w:rsidR="004F386E" w:rsidRDefault="00071BA2">
      <w:pPr>
        <w:numPr>
          <w:ilvl w:val="0"/>
          <w:numId w:val="6"/>
        </w:numPr>
        <w:spacing w:before="100" w:beforeAutospacing="1" w:after="100" w:afterAutospacing="1" w:line="240" w:lineRule="auto"/>
        <w:rPr>
          <w:rFonts w:ascii="Times New Roman" w:eastAsia="Times New Roman" w:hAnsi="Times New Roman" w:cs="Times New Roman"/>
        </w:rPr>
      </w:pPr>
      <w:r>
        <w:rPr>
          <w:rFonts w:ascii="Times New Roman" w:eastAsia="Times New Roman" w:hAnsi="Times New Roman" w:cs="Times New Roman"/>
        </w:rPr>
        <w:t>Davey CM. Factors associated with the occurrence of striae gravidarum. J Obstet Gynaecol Br Commonw. 1972;79(12):1113-4.</w:t>
      </w:r>
    </w:p>
    <w:p w:rsidR="004F386E" w:rsidRDefault="00071BA2">
      <w:pPr>
        <w:numPr>
          <w:ilvl w:val="0"/>
          <w:numId w:val="6"/>
        </w:numPr>
        <w:spacing w:before="100" w:beforeAutospacing="1" w:after="100" w:afterAutospacing="1" w:line="240" w:lineRule="auto"/>
        <w:rPr>
          <w:rFonts w:ascii="Times New Roman" w:eastAsia="Times New Roman" w:hAnsi="Times New Roman" w:cs="Times New Roman"/>
        </w:rPr>
      </w:pPr>
      <w:r>
        <w:rPr>
          <w:rFonts w:ascii="Times New Roman" w:eastAsia="Times New Roman" w:hAnsi="Times New Roman" w:cs="Times New Roman"/>
        </w:rPr>
        <w:t>Eid AM, Elmarzugi NA, El-Enshasy HA, Mohamed HM. Efficacy of topical argan oil during pregnancy on the prevention of stretch marks: A randomized controlled trial. J Cosmet Dermatol. 2019;18(6):1664-70.</w:t>
      </w:r>
    </w:p>
    <w:p w:rsidR="004F386E" w:rsidRDefault="004F386E">
      <w:pPr>
        <w:rPr>
          <w:rtl/>
        </w:rPr>
      </w:pPr>
    </w:p>
    <w:p w:rsidR="004F386E" w:rsidRDefault="004F386E"/>
    <w:sectPr w:rsidR="004F386E">
      <w:headerReference w:type="default" r:id="rId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C6139" w:rsidRDefault="00BC6139">
      <w:pPr>
        <w:spacing w:after="0" w:line="240" w:lineRule="auto"/>
      </w:pPr>
      <w:r>
        <w:separator/>
      </w:r>
    </w:p>
  </w:endnote>
  <w:endnote w:type="continuationSeparator" w:id="0">
    <w:p w:rsidR="00BC6139" w:rsidRDefault="00BC613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raditional Arabic">
    <w:panose1 w:val="02020603050405020304"/>
    <w:charset w:val="00"/>
    <w:family w:val="roman"/>
    <w:pitch w:val="variable"/>
    <w:sig w:usb0="00002003" w:usb1="80000000" w:usb2="00000008" w:usb3="00000000" w:csb0="0000004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C6139" w:rsidRDefault="00BC6139">
      <w:pPr>
        <w:spacing w:after="0" w:line="240" w:lineRule="auto"/>
      </w:pPr>
      <w:r>
        <w:separator/>
      </w:r>
    </w:p>
  </w:footnote>
  <w:footnote w:type="continuationSeparator" w:id="0">
    <w:p w:rsidR="00BC6139" w:rsidRDefault="00BC613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F386E" w:rsidRDefault="00071BA2">
    <w:pPr>
      <w:pStyle w:val="Header"/>
    </w:pPr>
    <w:r>
      <w:rPr>
        <w:rFonts w:ascii="Times New Roman" w:eastAsia="Times New Roman" w:hAnsi="Times New Roman" w:cs="Traditional Arabic"/>
        <w:noProof/>
        <w:sz w:val="20"/>
        <w:szCs w:val="20"/>
      </w:rPr>
      <w:drawing>
        <wp:anchor distT="0" distB="0" distL="114300" distR="114300" simplePos="0" relativeHeight="2" behindDoc="1" locked="0" layoutInCell="1" allowOverlap="1">
          <wp:simplePos x="0" y="0"/>
          <wp:positionH relativeFrom="page">
            <wp:posOffset>2676525</wp:posOffset>
          </wp:positionH>
          <wp:positionV relativeFrom="paragraph">
            <wp:posOffset>-390525</wp:posOffset>
          </wp:positionV>
          <wp:extent cx="5029200" cy="795655"/>
          <wp:effectExtent l="0" t="0" r="0" b="4445"/>
          <wp:wrapTight wrapText="bothSides">
            <wp:wrapPolygon edited="0">
              <wp:start x="0" y="0"/>
              <wp:lineTo x="0" y="21204"/>
              <wp:lineTo x="21518" y="21204"/>
              <wp:lineTo x="21518" y="0"/>
              <wp:lineTo x="0" y="0"/>
            </wp:wrapPolygon>
          </wp:wrapTight>
          <wp:docPr id="4097" name="Pictur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pic:cNvPicPr/>
                </pic:nvPicPr>
                <pic:blipFill>
                  <a:blip r:embed="rId1" cstate="print"/>
                  <a:srcRect/>
                  <a:stretch/>
                </pic:blipFill>
                <pic:spPr>
                  <a:xfrm>
                    <a:off x="0" y="0"/>
                    <a:ext cx="5029200" cy="795655"/>
                  </a:xfrm>
                  <a:prstGeom prst="rect">
                    <a:avLst/>
                  </a:prstGeom>
                </pic:spPr>
              </pic:pic>
            </a:graphicData>
          </a:graphic>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BAAE23BC"/>
    <w:lvl w:ilvl="0">
      <w:start w:val="1"/>
      <w:numFmt w:val="decimal"/>
      <w:lvlText w:val="%1."/>
      <w:lvlJc w:val="left"/>
      <w:pPr>
        <w:tabs>
          <w:tab w:val="left" w:pos="720"/>
        </w:tabs>
        <w:ind w:left="720" w:hanging="360"/>
      </w:pPr>
    </w:lvl>
    <w:lvl w:ilvl="1" w:tentative="1">
      <w:start w:val="1"/>
      <w:numFmt w:val="decimal"/>
      <w:lvlText w:val="%2."/>
      <w:lvlJc w:val="left"/>
      <w:pPr>
        <w:tabs>
          <w:tab w:val="left" w:pos="1440"/>
        </w:tabs>
        <w:ind w:left="1440" w:hanging="360"/>
      </w:pPr>
    </w:lvl>
    <w:lvl w:ilvl="2" w:tentative="1">
      <w:start w:val="1"/>
      <w:numFmt w:val="decimal"/>
      <w:lvlText w:val="%3."/>
      <w:lvlJc w:val="left"/>
      <w:pPr>
        <w:tabs>
          <w:tab w:val="left" w:pos="2160"/>
        </w:tabs>
        <w:ind w:left="2160" w:hanging="360"/>
      </w:pPr>
    </w:lvl>
    <w:lvl w:ilvl="3" w:tentative="1">
      <w:start w:val="1"/>
      <w:numFmt w:val="decimal"/>
      <w:lvlText w:val="%4."/>
      <w:lvlJc w:val="left"/>
      <w:pPr>
        <w:tabs>
          <w:tab w:val="left" w:pos="2880"/>
        </w:tabs>
        <w:ind w:left="2880" w:hanging="360"/>
      </w:pPr>
    </w:lvl>
    <w:lvl w:ilvl="4" w:tentative="1">
      <w:start w:val="1"/>
      <w:numFmt w:val="decimal"/>
      <w:lvlText w:val="%5."/>
      <w:lvlJc w:val="left"/>
      <w:pPr>
        <w:tabs>
          <w:tab w:val="left" w:pos="3600"/>
        </w:tabs>
        <w:ind w:left="3600" w:hanging="360"/>
      </w:pPr>
    </w:lvl>
    <w:lvl w:ilvl="5" w:tentative="1">
      <w:start w:val="1"/>
      <w:numFmt w:val="decimal"/>
      <w:lvlText w:val="%6."/>
      <w:lvlJc w:val="left"/>
      <w:pPr>
        <w:tabs>
          <w:tab w:val="left" w:pos="4320"/>
        </w:tabs>
        <w:ind w:left="4320" w:hanging="360"/>
      </w:pPr>
    </w:lvl>
    <w:lvl w:ilvl="6" w:tentative="1">
      <w:start w:val="1"/>
      <w:numFmt w:val="decimal"/>
      <w:lvlText w:val="%7."/>
      <w:lvlJc w:val="left"/>
      <w:pPr>
        <w:tabs>
          <w:tab w:val="left" w:pos="5040"/>
        </w:tabs>
        <w:ind w:left="5040" w:hanging="360"/>
      </w:pPr>
    </w:lvl>
    <w:lvl w:ilvl="7" w:tentative="1">
      <w:start w:val="1"/>
      <w:numFmt w:val="decimal"/>
      <w:lvlText w:val="%8."/>
      <w:lvlJc w:val="left"/>
      <w:pPr>
        <w:tabs>
          <w:tab w:val="left" w:pos="5760"/>
        </w:tabs>
        <w:ind w:left="5760" w:hanging="360"/>
      </w:pPr>
    </w:lvl>
    <w:lvl w:ilvl="8" w:tentative="1">
      <w:start w:val="1"/>
      <w:numFmt w:val="decimal"/>
      <w:lvlText w:val="%9."/>
      <w:lvlJc w:val="left"/>
      <w:pPr>
        <w:tabs>
          <w:tab w:val="left" w:pos="6480"/>
        </w:tabs>
        <w:ind w:left="6480" w:hanging="360"/>
      </w:pPr>
    </w:lvl>
  </w:abstractNum>
  <w:abstractNum w:abstractNumId="1" w15:restartNumberingAfterBreak="0">
    <w:nsid w:val="00000002"/>
    <w:multiLevelType w:val="multilevel"/>
    <w:tmpl w:val="34BEACB4"/>
    <w:lvl w:ilvl="0">
      <w:start w:val="1"/>
      <w:numFmt w:val="bullet"/>
      <w:lvlText w:val=""/>
      <w:lvlJc w:val="left"/>
      <w:pPr>
        <w:tabs>
          <w:tab w:val="left" w:pos="720"/>
        </w:tabs>
        <w:ind w:left="720" w:hanging="360"/>
      </w:pPr>
      <w:rPr>
        <w:rFonts w:ascii="Symbol" w:hAnsi="Symbol" w:hint="default"/>
        <w:sz w:val="20"/>
      </w:rPr>
    </w:lvl>
    <w:lvl w:ilvl="1" w:tentative="1">
      <w:start w:val="1"/>
      <w:numFmt w:val="bullet"/>
      <w:lvlText w:val="o"/>
      <w:lvlJc w:val="left"/>
      <w:pPr>
        <w:tabs>
          <w:tab w:val="left" w:pos="1440"/>
        </w:tabs>
        <w:ind w:left="1440" w:hanging="360"/>
      </w:pPr>
      <w:rPr>
        <w:rFonts w:ascii="Courier New" w:hAnsi="Courier New" w:hint="default"/>
        <w:sz w:val="20"/>
      </w:rPr>
    </w:lvl>
    <w:lvl w:ilvl="2" w:tentative="1">
      <w:start w:val="1"/>
      <w:numFmt w:val="bullet"/>
      <w:lvlText w:val=""/>
      <w:lvlJc w:val="left"/>
      <w:pPr>
        <w:tabs>
          <w:tab w:val="left" w:pos="2160"/>
        </w:tabs>
        <w:ind w:left="2160" w:hanging="360"/>
      </w:pPr>
      <w:rPr>
        <w:rFonts w:ascii="Wingdings" w:hAnsi="Wingdings" w:hint="default"/>
        <w:sz w:val="20"/>
      </w:rPr>
    </w:lvl>
    <w:lvl w:ilvl="3" w:tentative="1">
      <w:start w:val="1"/>
      <w:numFmt w:val="bullet"/>
      <w:lvlText w:val=""/>
      <w:lvlJc w:val="left"/>
      <w:pPr>
        <w:tabs>
          <w:tab w:val="left" w:pos="2880"/>
        </w:tabs>
        <w:ind w:left="2880" w:hanging="360"/>
      </w:pPr>
      <w:rPr>
        <w:rFonts w:ascii="Wingdings" w:hAnsi="Wingdings" w:hint="default"/>
        <w:sz w:val="20"/>
      </w:rPr>
    </w:lvl>
    <w:lvl w:ilvl="4" w:tentative="1">
      <w:start w:val="1"/>
      <w:numFmt w:val="bullet"/>
      <w:lvlText w:val=""/>
      <w:lvlJc w:val="left"/>
      <w:pPr>
        <w:tabs>
          <w:tab w:val="left" w:pos="3600"/>
        </w:tabs>
        <w:ind w:left="3600" w:hanging="360"/>
      </w:pPr>
      <w:rPr>
        <w:rFonts w:ascii="Wingdings" w:hAnsi="Wingdings" w:hint="default"/>
        <w:sz w:val="20"/>
      </w:rPr>
    </w:lvl>
    <w:lvl w:ilvl="5" w:tentative="1">
      <w:start w:val="1"/>
      <w:numFmt w:val="bullet"/>
      <w:lvlText w:val=""/>
      <w:lvlJc w:val="left"/>
      <w:pPr>
        <w:tabs>
          <w:tab w:val="left" w:pos="4320"/>
        </w:tabs>
        <w:ind w:left="4320" w:hanging="360"/>
      </w:pPr>
      <w:rPr>
        <w:rFonts w:ascii="Wingdings" w:hAnsi="Wingdings" w:hint="default"/>
        <w:sz w:val="20"/>
      </w:rPr>
    </w:lvl>
    <w:lvl w:ilvl="6" w:tentative="1">
      <w:start w:val="1"/>
      <w:numFmt w:val="bullet"/>
      <w:lvlText w:val=""/>
      <w:lvlJc w:val="left"/>
      <w:pPr>
        <w:tabs>
          <w:tab w:val="left" w:pos="5040"/>
        </w:tabs>
        <w:ind w:left="5040" w:hanging="360"/>
      </w:pPr>
      <w:rPr>
        <w:rFonts w:ascii="Wingdings" w:hAnsi="Wingdings" w:hint="default"/>
        <w:sz w:val="20"/>
      </w:rPr>
    </w:lvl>
    <w:lvl w:ilvl="7" w:tentative="1">
      <w:start w:val="1"/>
      <w:numFmt w:val="bullet"/>
      <w:lvlText w:val=""/>
      <w:lvlJc w:val="left"/>
      <w:pPr>
        <w:tabs>
          <w:tab w:val="left" w:pos="5760"/>
        </w:tabs>
        <w:ind w:left="5760" w:hanging="360"/>
      </w:pPr>
      <w:rPr>
        <w:rFonts w:ascii="Wingdings" w:hAnsi="Wingdings" w:hint="default"/>
        <w:sz w:val="20"/>
      </w:rPr>
    </w:lvl>
    <w:lvl w:ilvl="8" w:tentative="1">
      <w:start w:val="1"/>
      <w:numFmt w:val="bullet"/>
      <w:lvlText w:val=""/>
      <w:lvlJc w:val="left"/>
      <w:pPr>
        <w:tabs>
          <w:tab w:val="left" w:pos="6480"/>
        </w:tabs>
        <w:ind w:left="6480" w:hanging="360"/>
      </w:pPr>
      <w:rPr>
        <w:rFonts w:ascii="Wingdings" w:hAnsi="Wingdings" w:hint="default"/>
        <w:sz w:val="20"/>
      </w:rPr>
    </w:lvl>
  </w:abstractNum>
  <w:abstractNum w:abstractNumId="2" w15:restartNumberingAfterBreak="0">
    <w:nsid w:val="00000003"/>
    <w:multiLevelType w:val="multilevel"/>
    <w:tmpl w:val="9D10F05E"/>
    <w:lvl w:ilvl="0">
      <w:start w:val="1"/>
      <w:numFmt w:val="bullet"/>
      <w:lvlText w:val=""/>
      <w:lvlJc w:val="left"/>
      <w:pPr>
        <w:tabs>
          <w:tab w:val="left" w:pos="720"/>
        </w:tabs>
        <w:ind w:left="720" w:hanging="360"/>
      </w:pPr>
      <w:rPr>
        <w:rFonts w:ascii="Symbol" w:hAnsi="Symbol" w:hint="default"/>
        <w:sz w:val="20"/>
      </w:rPr>
    </w:lvl>
    <w:lvl w:ilvl="1" w:tentative="1">
      <w:start w:val="1"/>
      <w:numFmt w:val="bullet"/>
      <w:lvlText w:val="o"/>
      <w:lvlJc w:val="left"/>
      <w:pPr>
        <w:tabs>
          <w:tab w:val="left" w:pos="1440"/>
        </w:tabs>
        <w:ind w:left="1440" w:hanging="360"/>
      </w:pPr>
      <w:rPr>
        <w:rFonts w:ascii="Courier New" w:hAnsi="Courier New" w:hint="default"/>
        <w:sz w:val="20"/>
      </w:rPr>
    </w:lvl>
    <w:lvl w:ilvl="2" w:tentative="1">
      <w:start w:val="1"/>
      <w:numFmt w:val="bullet"/>
      <w:lvlText w:val=""/>
      <w:lvlJc w:val="left"/>
      <w:pPr>
        <w:tabs>
          <w:tab w:val="left" w:pos="2160"/>
        </w:tabs>
        <w:ind w:left="2160" w:hanging="360"/>
      </w:pPr>
      <w:rPr>
        <w:rFonts w:ascii="Wingdings" w:hAnsi="Wingdings" w:hint="default"/>
        <w:sz w:val="20"/>
      </w:rPr>
    </w:lvl>
    <w:lvl w:ilvl="3" w:tentative="1">
      <w:start w:val="1"/>
      <w:numFmt w:val="bullet"/>
      <w:lvlText w:val=""/>
      <w:lvlJc w:val="left"/>
      <w:pPr>
        <w:tabs>
          <w:tab w:val="left" w:pos="2880"/>
        </w:tabs>
        <w:ind w:left="2880" w:hanging="360"/>
      </w:pPr>
      <w:rPr>
        <w:rFonts w:ascii="Wingdings" w:hAnsi="Wingdings" w:hint="default"/>
        <w:sz w:val="20"/>
      </w:rPr>
    </w:lvl>
    <w:lvl w:ilvl="4" w:tentative="1">
      <w:start w:val="1"/>
      <w:numFmt w:val="bullet"/>
      <w:lvlText w:val=""/>
      <w:lvlJc w:val="left"/>
      <w:pPr>
        <w:tabs>
          <w:tab w:val="left" w:pos="3600"/>
        </w:tabs>
        <w:ind w:left="3600" w:hanging="360"/>
      </w:pPr>
      <w:rPr>
        <w:rFonts w:ascii="Wingdings" w:hAnsi="Wingdings" w:hint="default"/>
        <w:sz w:val="20"/>
      </w:rPr>
    </w:lvl>
    <w:lvl w:ilvl="5" w:tentative="1">
      <w:start w:val="1"/>
      <w:numFmt w:val="bullet"/>
      <w:lvlText w:val=""/>
      <w:lvlJc w:val="left"/>
      <w:pPr>
        <w:tabs>
          <w:tab w:val="left" w:pos="4320"/>
        </w:tabs>
        <w:ind w:left="4320" w:hanging="360"/>
      </w:pPr>
      <w:rPr>
        <w:rFonts w:ascii="Wingdings" w:hAnsi="Wingdings" w:hint="default"/>
        <w:sz w:val="20"/>
      </w:rPr>
    </w:lvl>
    <w:lvl w:ilvl="6" w:tentative="1">
      <w:start w:val="1"/>
      <w:numFmt w:val="bullet"/>
      <w:lvlText w:val=""/>
      <w:lvlJc w:val="left"/>
      <w:pPr>
        <w:tabs>
          <w:tab w:val="left" w:pos="5040"/>
        </w:tabs>
        <w:ind w:left="5040" w:hanging="360"/>
      </w:pPr>
      <w:rPr>
        <w:rFonts w:ascii="Wingdings" w:hAnsi="Wingdings" w:hint="default"/>
        <w:sz w:val="20"/>
      </w:rPr>
    </w:lvl>
    <w:lvl w:ilvl="7" w:tentative="1">
      <w:start w:val="1"/>
      <w:numFmt w:val="bullet"/>
      <w:lvlText w:val=""/>
      <w:lvlJc w:val="left"/>
      <w:pPr>
        <w:tabs>
          <w:tab w:val="left" w:pos="5760"/>
        </w:tabs>
        <w:ind w:left="5760" w:hanging="360"/>
      </w:pPr>
      <w:rPr>
        <w:rFonts w:ascii="Wingdings" w:hAnsi="Wingdings" w:hint="default"/>
        <w:sz w:val="20"/>
      </w:rPr>
    </w:lvl>
    <w:lvl w:ilvl="8" w:tentative="1">
      <w:start w:val="1"/>
      <w:numFmt w:val="bullet"/>
      <w:lvlText w:val=""/>
      <w:lvlJc w:val="left"/>
      <w:pPr>
        <w:tabs>
          <w:tab w:val="left" w:pos="6480"/>
        </w:tabs>
        <w:ind w:left="6480" w:hanging="360"/>
      </w:pPr>
      <w:rPr>
        <w:rFonts w:ascii="Wingdings" w:hAnsi="Wingdings" w:hint="default"/>
        <w:sz w:val="20"/>
      </w:rPr>
    </w:lvl>
  </w:abstractNum>
  <w:abstractNum w:abstractNumId="3" w15:restartNumberingAfterBreak="0">
    <w:nsid w:val="00000004"/>
    <w:multiLevelType w:val="multilevel"/>
    <w:tmpl w:val="016AA7D4"/>
    <w:lvl w:ilvl="0">
      <w:start w:val="1"/>
      <w:numFmt w:val="bullet"/>
      <w:lvlText w:val=""/>
      <w:lvlJc w:val="left"/>
      <w:pPr>
        <w:tabs>
          <w:tab w:val="left" w:pos="720"/>
        </w:tabs>
        <w:ind w:left="720" w:hanging="360"/>
      </w:pPr>
      <w:rPr>
        <w:rFonts w:ascii="Symbol" w:hAnsi="Symbol" w:hint="default"/>
        <w:sz w:val="20"/>
      </w:rPr>
    </w:lvl>
    <w:lvl w:ilvl="1" w:tentative="1">
      <w:start w:val="1"/>
      <w:numFmt w:val="bullet"/>
      <w:lvlText w:val="o"/>
      <w:lvlJc w:val="left"/>
      <w:pPr>
        <w:tabs>
          <w:tab w:val="left" w:pos="1440"/>
        </w:tabs>
        <w:ind w:left="1440" w:hanging="360"/>
      </w:pPr>
      <w:rPr>
        <w:rFonts w:ascii="Courier New" w:hAnsi="Courier New" w:hint="default"/>
        <w:sz w:val="20"/>
      </w:rPr>
    </w:lvl>
    <w:lvl w:ilvl="2" w:tentative="1">
      <w:start w:val="1"/>
      <w:numFmt w:val="bullet"/>
      <w:lvlText w:val=""/>
      <w:lvlJc w:val="left"/>
      <w:pPr>
        <w:tabs>
          <w:tab w:val="left" w:pos="2160"/>
        </w:tabs>
        <w:ind w:left="2160" w:hanging="360"/>
      </w:pPr>
      <w:rPr>
        <w:rFonts w:ascii="Wingdings" w:hAnsi="Wingdings" w:hint="default"/>
        <w:sz w:val="20"/>
      </w:rPr>
    </w:lvl>
    <w:lvl w:ilvl="3" w:tentative="1">
      <w:start w:val="1"/>
      <w:numFmt w:val="bullet"/>
      <w:lvlText w:val=""/>
      <w:lvlJc w:val="left"/>
      <w:pPr>
        <w:tabs>
          <w:tab w:val="left" w:pos="2880"/>
        </w:tabs>
        <w:ind w:left="2880" w:hanging="360"/>
      </w:pPr>
      <w:rPr>
        <w:rFonts w:ascii="Wingdings" w:hAnsi="Wingdings" w:hint="default"/>
        <w:sz w:val="20"/>
      </w:rPr>
    </w:lvl>
    <w:lvl w:ilvl="4" w:tentative="1">
      <w:start w:val="1"/>
      <w:numFmt w:val="bullet"/>
      <w:lvlText w:val=""/>
      <w:lvlJc w:val="left"/>
      <w:pPr>
        <w:tabs>
          <w:tab w:val="left" w:pos="3600"/>
        </w:tabs>
        <w:ind w:left="3600" w:hanging="360"/>
      </w:pPr>
      <w:rPr>
        <w:rFonts w:ascii="Wingdings" w:hAnsi="Wingdings" w:hint="default"/>
        <w:sz w:val="20"/>
      </w:rPr>
    </w:lvl>
    <w:lvl w:ilvl="5" w:tentative="1">
      <w:start w:val="1"/>
      <w:numFmt w:val="bullet"/>
      <w:lvlText w:val=""/>
      <w:lvlJc w:val="left"/>
      <w:pPr>
        <w:tabs>
          <w:tab w:val="left" w:pos="4320"/>
        </w:tabs>
        <w:ind w:left="4320" w:hanging="360"/>
      </w:pPr>
      <w:rPr>
        <w:rFonts w:ascii="Wingdings" w:hAnsi="Wingdings" w:hint="default"/>
        <w:sz w:val="20"/>
      </w:rPr>
    </w:lvl>
    <w:lvl w:ilvl="6" w:tentative="1">
      <w:start w:val="1"/>
      <w:numFmt w:val="bullet"/>
      <w:lvlText w:val=""/>
      <w:lvlJc w:val="left"/>
      <w:pPr>
        <w:tabs>
          <w:tab w:val="left" w:pos="5040"/>
        </w:tabs>
        <w:ind w:left="5040" w:hanging="360"/>
      </w:pPr>
      <w:rPr>
        <w:rFonts w:ascii="Wingdings" w:hAnsi="Wingdings" w:hint="default"/>
        <w:sz w:val="20"/>
      </w:rPr>
    </w:lvl>
    <w:lvl w:ilvl="7" w:tentative="1">
      <w:start w:val="1"/>
      <w:numFmt w:val="bullet"/>
      <w:lvlText w:val=""/>
      <w:lvlJc w:val="left"/>
      <w:pPr>
        <w:tabs>
          <w:tab w:val="left" w:pos="5760"/>
        </w:tabs>
        <w:ind w:left="5760" w:hanging="360"/>
      </w:pPr>
      <w:rPr>
        <w:rFonts w:ascii="Wingdings" w:hAnsi="Wingdings" w:hint="default"/>
        <w:sz w:val="20"/>
      </w:rPr>
    </w:lvl>
    <w:lvl w:ilvl="8" w:tentative="1">
      <w:start w:val="1"/>
      <w:numFmt w:val="bullet"/>
      <w:lvlText w:val=""/>
      <w:lvlJc w:val="left"/>
      <w:pPr>
        <w:tabs>
          <w:tab w:val="left" w:pos="6480"/>
        </w:tabs>
        <w:ind w:left="6480" w:hanging="360"/>
      </w:pPr>
      <w:rPr>
        <w:rFonts w:ascii="Wingdings" w:hAnsi="Wingdings" w:hint="default"/>
        <w:sz w:val="20"/>
      </w:rPr>
    </w:lvl>
  </w:abstractNum>
  <w:abstractNum w:abstractNumId="4" w15:restartNumberingAfterBreak="0">
    <w:nsid w:val="00000005"/>
    <w:multiLevelType w:val="multilevel"/>
    <w:tmpl w:val="C128B4E8"/>
    <w:lvl w:ilvl="0">
      <w:start w:val="1"/>
      <w:numFmt w:val="decimal"/>
      <w:lvlText w:val="%1."/>
      <w:lvlJc w:val="left"/>
      <w:pPr>
        <w:tabs>
          <w:tab w:val="left" w:pos="720"/>
        </w:tabs>
        <w:ind w:left="720" w:hanging="360"/>
      </w:pPr>
    </w:lvl>
    <w:lvl w:ilvl="1" w:tentative="1">
      <w:start w:val="1"/>
      <w:numFmt w:val="decimal"/>
      <w:lvlText w:val="%2."/>
      <w:lvlJc w:val="left"/>
      <w:pPr>
        <w:tabs>
          <w:tab w:val="left" w:pos="1440"/>
        </w:tabs>
        <w:ind w:left="1440" w:hanging="360"/>
      </w:pPr>
    </w:lvl>
    <w:lvl w:ilvl="2" w:tentative="1">
      <w:start w:val="1"/>
      <w:numFmt w:val="decimal"/>
      <w:lvlText w:val="%3."/>
      <w:lvlJc w:val="left"/>
      <w:pPr>
        <w:tabs>
          <w:tab w:val="left" w:pos="2160"/>
        </w:tabs>
        <w:ind w:left="2160" w:hanging="360"/>
      </w:pPr>
    </w:lvl>
    <w:lvl w:ilvl="3" w:tentative="1">
      <w:start w:val="1"/>
      <w:numFmt w:val="decimal"/>
      <w:lvlText w:val="%4."/>
      <w:lvlJc w:val="left"/>
      <w:pPr>
        <w:tabs>
          <w:tab w:val="left" w:pos="2880"/>
        </w:tabs>
        <w:ind w:left="2880" w:hanging="360"/>
      </w:pPr>
    </w:lvl>
    <w:lvl w:ilvl="4" w:tentative="1">
      <w:start w:val="1"/>
      <w:numFmt w:val="decimal"/>
      <w:lvlText w:val="%5."/>
      <w:lvlJc w:val="left"/>
      <w:pPr>
        <w:tabs>
          <w:tab w:val="left" w:pos="3600"/>
        </w:tabs>
        <w:ind w:left="3600" w:hanging="360"/>
      </w:pPr>
    </w:lvl>
    <w:lvl w:ilvl="5" w:tentative="1">
      <w:start w:val="1"/>
      <w:numFmt w:val="decimal"/>
      <w:lvlText w:val="%6."/>
      <w:lvlJc w:val="left"/>
      <w:pPr>
        <w:tabs>
          <w:tab w:val="left" w:pos="4320"/>
        </w:tabs>
        <w:ind w:left="4320" w:hanging="360"/>
      </w:pPr>
    </w:lvl>
    <w:lvl w:ilvl="6" w:tentative="1">
      <w:start w:val="1"/>
      <w:numFmt w:val="decimal"/>
      <w:lvlText w:val="%7."/>
      <w:lvlJc w:val="left"/>
      <w:pPr>
        <w:tabs>
          <w:tab w:val="left" w:pos="5040"/>
        </w:tabs>
        <w:ind w:left="5040" w:hanging="360"/>
      </w:pPr>
    </w:lvl>
    <w:lvl w:ilvl="7" w:tentative="1">
      <w:start w:val="1"/>
      <w:numFmt w:val="decimal"/>
      <w:lvlText w:val="%8."/>
      <w:lvlJc w:val="left"/>
      <w:pPr>
        <w:tabs>
          <w:tab w:val="left" w:pos="5760"/>
        </w:tabs>
        <w:ind w:left="5760" w:hanging="360"/>
      </w:pPr>
    </w:lvl>
    <w:lvl w:ilvl="8" w:tentative="1">
      <w:start w:val="1"/>
      <w:numFmt w:val="decimal"/>
      <w:lvlText w:val="%9."/>
      <w:lvlJc w:val="left"/>
      <w:pPr>
        <w:tabs>
          <w:tab w:val="left" w:pos="6480"/>
        </w:tabs>
        <w:ind w:left="6480" w:hanging="360"/>
      </w:pPr>
    </w:lvl>
  </w:abstractNum>
  <w:abstractNum w:abstractNumId="5" w15:restartNumberingAfterBreak="0">
    <w:nsid w:val="271475DB"/>
    <w:multiLevelType w:val="multilevel"/>
    <w:tmpl w:val="EA508D86"/>
    <w:lvl w:ilvl="0">
      <w:start w:val="1"/>
      <w:numFmt w:val="decimal"/>
      <w:lvlText w:val="%1."/>
      <w:lvlJc w:val="left"/>
      <w:pPr>
        <w:tabs>
          <w:tab w:val="left" w:pos="720"/>
        </w:tabs>
        <w:ind w:left="720" w:hanging="360"/>
      </w:pPr>
    </w:lvl>
    <w:lvl w:ilvl="1" w:tentative="1">
      <w:start w:val="1"/>
      <w:numFmt w:val="decimal"/>
      <w:lvlText w:val="%2."/>
      <w:lvlJc w:val="left"/>
      <w:pPr>
        <w:tabs>
          <w:tab w:val="left" w:pos="1440"/>
        </w:tabs>
        <w:ind w:left="1440" w:hanging="360"/>
      </w:pPr>
    </w:lvl>
    <w:lvl w:ilvl="2" w:tentative="1">
      <w:start w:val="1"/>
      <w:numFmt w:val="decimal"/>
      <w:lvlText w:val="%3."/>
      <w:lvlJc w:val="left"/>
      <w:pPr>
        <w:tabs>
          <w:tab w:val="left" w:pos="2160"/>
        </w:tabs>
        <w:ind w:left="2160" w:hanging="360"/>
      </w:pPr>
    </w:lvl>
    <w:lvl w:ilvl="3" w:tentative="1">
      <w:start w:val="1"/>
      <w:numFmt w:val="decimal"/>
      <w:lvlText w:val="%4."/>
      <w:lvlJc w:val="left"/>
      <w:pPr>
        <w:tabs>
          <w:tab w:val="left" w:pos="2880"/>
        </w:tabs>
        <w:ind w:left="2880" w:hanging="360"/>
      </w:pPr>
    </w:lvl>
    <w:lvl w:ilvl="4" w:tentative="1">
      <w:start w:val="1"/>
      <w:numFmt w:val="decimal"/>
      <w:lvlText w:val="%5."/>
      <w:lvlJc w:val="left"/>
      <w:pPr>
        <w:tabs>
          <w:tab w:val="left" w:pos="3600"/>
        </w:tabs>
        <w:ind w:left="3600" w:hanging="360"/>
      </w:pPr>
    </w:lvl>
    <w:lvl w:ilvl="5" w:tentative="1">
      <w:start w:val="1"/>
      <w:numFmt w:val="decimal"/>
      <w:lvlText w:val="%6."/>
      <w:lvlJc w:val="left"/>
      <w:pPr>
        <w:tabs>
          <w:tab w:val="left" w:pos="4320"/>
        </w:tabs>
        <w:ind w:left="4320" w:hanging="360"/>
      </w:pPr>
    </w:lvl>
    <w:lvl w:ilvl="6" w:tentative="1">
      <w:start w:val="1"/>
      <w:numFmt w:val="decimal"/>
      <w:lvlText w:val="%7."/>
      <w:lvlJc w:val="left"/>
      <w:pPr>
        <w:tabs>
          <w:tab w:val="left" w:pos="5040"/>
        </w:tabs>
        <w:ind w:left="5040" w:hanging="360"/>
      </w:pPr>
    </w:lvl>
    <w:lvl w:ilvl="7" w:tentative="1">
      <w:start w:val="1"/>
      <w:numFmt w:val="decimal"/>
      <w:lvlText w:val="%8."/>
      <w:lvlJc w:val="left"/>
      <w:pPr>
        <w:tabs>
          <w:tab w:val="left" w:pos="5760"/>
        </w:tabs>
        <w:ind w:left="5760" w:hanging="360"/>
      </w:pPr>
    </w:lvl>
    <w:lvl w:ilvl="8" w:tentative="1">
      <w:start w:val="1"/>
      <w:numFmt w:val="decimal"/>
      <w:lvlText w:val="%9."/>
      <w:lvlJc w:val="left"/>
      <w:pPr>
        <w:tabs>
          <w:tab w:val="left" w:pos="6480"/>
        </w:tabs>
        <w:ind w:left="6480" w:hanging="360"/>
      </w:pPr>
    </w:lvl>
  </w:abstractNum>
  <w:num w:numId="1">
    <w:abstractNumId w:val="5"/>
  </w:num>
  <w:num w:numId="2">
    <w:abstractNumId w:val="0"/>
  </w:num>
  <w:num w:numId="3">
    <w:abstractNumId w:val="2"/>
  </w:num>
  <w:num w:numId="4">
    <w:abstractNumId w:val="1"/>
  </w:num>
  <w:num w:numId="5">
    <w:abstractNumId w:val="3"/>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F386E"/>
    <w:rsid w:val="00071BA2"/>
    <w:rsid w:val="00455026"/>
    <w:rsid w:val="004F386E"/>
    <w:rsid w:val="00BC6139"/>
    <w:rsid w:val="00CB6E27"/>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0E4D67"/>
  <w15:docId w15:val="{8F485DEA-573E-4F1B-A143-08DD60EDD0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rPr>
      <w:color w:val="0563C1"/>
      <w:u w:val="single"/>
    </w:rPr>
  </w:style>
  <w:style w:type="paragraph" w:styleId="Header">
    <w:name w:val="header"/>
    <w:basedOn w:val="Normal"/>
    <w:link w:val="HeaderChar"/>
    <w:uiPriority w:val="99"/>
    <w:pPr>
      <w:tabs>
        <w:tab w:val="center" w:pos="4680"/>
        <w:tab w:val="right" w:pos="9360"/>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pPr>
      <w:tabs>
        <w:tab w:val="center" w:pos="4680"/>
        <w:tab w:val="right" w:pos="9360"/>
      </w:tabs>
      <w:spacing w:after="0" w:line="240" w:lineRule="auto"/>
    </w:pPr>
  </w:style>
  <w:style w:type="character" w:customStyle="1" w:styleId="FooterChar">
    <w:name w:val="Footer Char"/>
    <w:basedOn w:val="DefaultParagraphFont"/>
    <w:link w:val="Footer"/>
    <w:uiPriority w:val="9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yperlink" Target="https://M.Sc" TargetMode="External"/><Relationship Id="rId3" Type="http://schemas.openxmlformats.org/officeDocument/2006/relationships/settings" Target="settings.xml"/><Relationship Id="rId7" Type="http://schemas.openxmlformats.org/officeDocument/2006/relationships/hyperlink" Target="https://M.Sc"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5</Pages>
  <Words>1965</Words>
  <Characters>11207</Characters>
  <Application>Microsoft Office Word</Application>
  <DocSecurity>0</DocSecurity>
  <Lines>93</Lines>
  <Paragraphs>26</Paragraphs>
  <ScaleCrop>false</ScaleCrop>
  <Company>diakov.net</Company>
  <LinksUpToDate>false</LinksUpToDate>
  <CharactersWithSpaces>13146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RePack by Diakov</dc:creator>
  <cp:lastModifiedBy>RePack by Diakov</cp:lastModifiedBy>
  <cp:revision>6</cp:revision>
  <dcterms:created xsi:type="dcterms:W3CDTF">2025-10-04T12:08:00Z</dcterms:created>
  <dcterms:modified xsi:type="dcterms:W3CDTF">2025-12-14T11:47:00Z</dcterms:modified>
</cp:coreProperties>
</file>