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931BA1">
      <w:pPr>
        <w:pStyle w:val="Title"/>
        <w:rPr>
          <w:rFonts w:cs="Nazanin"/>
          <w:b w:val="0"/>
          <w:bCs w:val="0"/>
          <w:sz w:val="28"/>
        </w:rPr>
      </w:pPr>
      <w:bookmarkStart w:id="0" w:name="OLE_LINK15"/>
      <w:bookmarkStart w:id="1" w:name="OLE_LINK10"/>
      <w:bookmarkStart w:id="2" w:name="OLE_LINK11"/>
      <w:bookmarkStart w:id="3" w:name="OLE_LINK14"/>
    </w:p>
    <w:bookmarkEnd w:id="0"/>
    <w:bookmarkEnd w:id="1"/>
    <w:bookmarkEnd w:id="2"/>
    <w:bookmarkEnd w:id="3"/>
    <w:p w14:paraId="464DD089" w14:textId="1E6CA069" w:rsidR="00284FD9" w:rsidRPr="003D763F" w:rsidRDefault="00284FD9" w:rsidP="00284FD9">
      <w:pPr>
        <w:spacing w:before="100" w:beforeAutospacing="1" w:after="100" w:afterAutospacing="1" w:line="360" w:lineRule="auto"/>
        <w:outlineLvl w:val="2"/>
        <w:rPr>
          <w:rStyle w:val="Strong"/>
          <w:sz w:val="28"/>
          <w:szCs w:val="28"/>
          <w:rtl/>
        </w:rPr>
      </w:pPr>
      <w:r w:rsidRPr="003D763F">
        <w:rPr>
          <w:rStyle w:val="Strong"/>
          <w:sz w:val="28"/>
          <w:szCs w:val="28"/>
        </w:rPr>
        <w:t>The Role of Digital Health Technologies in Empowering Older Adults for Self-Management of Chronic Conditions: A Comprehensive Review</w:t>
      </w:r>
    </w:p>
    <w:p w14:paraId="3422EE75" w14:textId="77777777" w:rsidR="00D978C0" w:rsidRDefault="00D978C0" w:rsidP="00D978C0">
      <w:pPr>
        <w:pStyle w:val="Heading1"/>
        <w:bidi w:val="0"/>
        <w:spacing w:line="276" w:lineRule="auto"/>
        <w:rPr>
          <w:rStyle w:val="Strong"/>
          <w:rFonts w:eastAsia="Calibri"/>
        </w:rPr>
      </w:pPr>
    </w:p>
    <w:p w14:paraId="05EBEF28" w14:textId="123DE202" w:rsidR="00D978C0" w:rsidRPr="00D978C0" w:rsidRDefault="00D978C0" w:rsidP="00D978C0">
      <w:pPr>
        <w:pStyle w:val="Heading1"/>
        <w:bidi w:val="0"/>
        <w:rPr>
          <w:rFonts w:eastAsia="Calibri"/>
          <w:vertAlign w:val="superscript"/>
        </w:rPr>
      </w:pPr>
      <w:r w:rsidRPr="00D978C0">
        <w:rPr>
          <w:rFonts w:eastAsia="Calibri"/>
        </w:rPr>
        <w:t>Haniye Jafardokht Bonjar</w:t>
      </w:r>
      <w:r>
        <w:rPr>
          <w:rFonts w:eastAsia="Calibri"/>
          <w:vertAlign w:val="superscript"/>
        </w:rPr>
        <w:t>1</w:t>
      </w:r>
    </w:p>
    <w:p w14:paraId="20666B4D" w14:textId="6CF54A6D" w:rsidR="002F2DE8" w:rsidRPr="00D978C0" w:rsidRDefault="00D978C0" w:rsidP="00D978C0">
      <w:pPr>
        <w:pStyle w:val="Heading1"/>
        <w:bidi w:val="0"/>
        <w:spacing w:line="276" w:lineRule="auto"/>
        <w:jc w:val="left"/>
        <w:rPr>
          <w:rStyle w:val="Strong"/>
          <w:sz w:val="20"/>
          <w:szCs w:val="20"/>
          <w:rtl/>
        </w:rPr>
      </w:pPr>
      <w:r>
        <w:rPr>
          <w:rFonts w:eastAsia="Calibri"/>
          <w:b w:val="0"/>
          <w:bCs w:val="0"/>
        </w:rPr>
        <w:t>1.</w:t>
      </w:r>
      <w:r w:rsidRPr="00D978C0">
        <w:rPr>
          <w:rFonts w:eastAsia="Calibri"/>
          <w:b w:val="0"/>
          <w:bCs w:val="0"/>
        </w:rPr>
        <w:t>Bachelor of Nursing</w:t>
      </w:r>
      <w:r w:rsidR="002F2DE8" w:rsidRPr="003D763F">
        <w:rPr>
          <w:rStyle w:val="Strong"/>
          <w:rFonts w:eastAsia="Calibri"/>
        </w:rPr>
        <w:t>, Social Security Organization, Shahid Amlaki Koomeleh Social S</w:t>
      </w:r>
      <w:r w:rsidR="00D964B3" w:rsidRPr="003D763F">
        <w:rPr>
          <w:rStyle w:val="Strong"/>
          <w:rFonts w:eastAsia="Calibri"/>
        </w:rPr>
        <w:t>ecurity Hospital, Langarud, Iran</w:t>
      </w:r>
    </w:p>
    <w:p w14:paraId="4ECBF7E7" w14:textId="5E723852" w:rsidR="002F2DE8" w:rsidRPr="00151640" w:rsidRDefault="002F2DE8" w:rsidP="00D978C0">
      <w:pPr>
        <w:pStyle w:val="Heading1"/>
        <w:bidi w:val="0"/>
        <w:spacing w:line="276" w:lineRule="auto"/>
        <w:rPr>
          <w:rStyle w:val="Strong"/>
          <w:b/>
          <w:bCs/>
          <w:sz w:val="20"/>
          <w:szCs w:val="20"/>
          <w:rtl/>
        </w:rPr>
      </w:pPr>
      <w:r w:rsidRPr="00151640">
        <w:rPr>
          <w:rStyle w:val="Strong"/>
          <w:b/>
          <w:bCs/>
          <w:sz w:val="20"/>
          <w:szCs w:val="20"/>
        </w:rPr>
        <w:t xml:space="preserve">Hosna Babaei </w:t>
      </w:r>
      <w:r w:rsidR="0078259F" w:rsidRPr="00151640">
        <w:rPr>
          <w:rStyle w:val="Strong"/>
          <w:b/>
          <w:bCs/>
          <w:sz w:val="20"/>
          <w:szCs w:val="20"/>
          <w:vertAlign w:val="superscript"/>
          <w:rtl/>
        </w:rPr>
        <w:t>2</w:t>
      </w:r>
      <w:r w:rsidR="00D978C0" w:rsidRPr="00151640">
        <w:rPr>
          <w:rStyle w:val="Strong"/>
          <w:b/>
          <w:bCs/>
          <w:sz w:val="20"/>
          <w:szCs w:val="20"/>
          <w:vertAlign w:val="superscript"/>
        </w:rPr>
        <w:t xml:space="preserve"> </w:t>
      </w:r>
    </w:p>
    <w:p w14:paraId="01F2390E" w14:textId="5871B118" w:rsidR="002F2DE8" w:rsidRPr="003D763F" w:rsidRDefault="0078259F" w:rsidP="00D964B3">
      <w:pPr>
        <w:pStyle w:val="Heading1"/>
        <w:bidi w:val="0"/>
        <w:spacing w:line="276" w:lineRule="auto"/>
        <w:rPr>
          <w:rStyle w:val="Strong"/>
        </w:rPr>
      </w:pPr>
      <w:r w:rsidRPr="003D763F">
        <w:rPr>
          <w:rStyle w:val="Strong"/>
          <w:rtl/>
        </w:rPr>
        <w:t>2</w:t>
      </w:r>
      <w:r w:rsidR="002F2DE8" w:rsidRPr="003D763F">
        <w:rPr>
          <w:rStyle w:val="Strong"/>
        </w:rPr>
        <w:t>. Anesthesia Technician, Iran University of Medical Sciences, Rasoul Akram Hospital, Tehran, Iran</w:t>
      </w:r>
    </w:p>
    <w:p w14:paraId="0DE0C693" w14:textId="2EE0F43E" w:rsidR="0078259F" w:rsidRPr="00151640" w:rsidRDefault="0078259F" w:rsidP="00D964B3">
      <w:pPr>
        <w:pStyle w:val="Heading1"/>
        <w:bidi w:val="0"/>
        <w:spacing w:line="276" w:lineRule="auto"/>
        <w:rPr>
          <w:rStyle w:val="Strong"/>
          <w:b/>
          <w:bCs/>
          <w:sz w:val="20"/>
          <w:szCs w:val="20"/>
        </w:rPr>
      </w:pPr>
      <w:r w:rsidRPr="00151640">
        <w:rPr>
          <w:rStyle w:val="Strong"/>
          <w:b/>
          <w:bCs/>
          <w:sz w:val="20"/>
          <w:szCs w:val="20"/>
        </w:rPr>
        <w:t>Somaye</w:t>
      </w:r>
      <w:r w:rsidR="000A4FDD">
        <w:rPr>
          <w:rStyle w:val="Strong"/>
          <w:b/>
          <w:bCs/>
          <w:sz w:val="20"/>
          <w:szCs w:val="20"/>
        </w:rPr>
        <w:t>h</w:t>
      </w:r>
      <w:r w:rsidRPr="00151640">
        <w:rPr>
          <w:rStyle w:val="Strong"/>
          <w:b/>
          <w:bCs/>
          <w:sz w:val="20"/>
          <w:szCs w:val="20"/>
        </w:rPr>
        <w:t xml:space="preserve"> Yoosefi </w:t>
      </w:r>
      <w:r w:rsidRPr="00151640">
        <w:rPr>
          <w:rStyle w:val="Strong"/>
          <w:b/>
          <w:bCs/>
          <w:sz w:val="20"/>
          <w:szCs w:val="20"/>
          <w:vertAlign w:val="superscript"/>
        </w:rPr>
        <w:t xml:space="preserve">3 </w:t>
      </w:r>
    </w:p>
    <w:p w14:paraId="2A089F8F" w14:textId="012E08EC" w:rsidR="0078259F" w:rsidRDefault="0078259F" w:rsidP="00D964B3">
      <w:pPr>
        <w:pStyle w:val="Heading1"/>
        <w:bidi w:val="0"/>
        <w:spacing w:line="276" w:lineRule="auto"/>
        <w:rPr>
          <w:rStyle w:val="Strong"/>
        </w:rPr>
      </w:pPr>
      <w:r w:rsidRPr="003D763F">
        <w:rPr>
          <w:rStyle w:val="Strong"/>
        </w:rPr>
        <w:t>3.MSc in Midwifery Counseling, Department of medical scinces, Gonabad Branch, Islamic azad university, Gonabad, Iran</w:t>
      </w:r>
    </w:p>
    <w:p w14:paraId="190BFB0D" w14:textId="77777777" w:rsidR="00D964B3" w:rsidRPr="00151640" w:rsidRDefault="00D964B3" w:rsidP="00D964B3">
      <w:pPr>
        <w:pStyle w:val="Heading1"/>
        <w:bidi w:val="0"/>
        <w:spacing w:line="276" w:lineRule="auto"/>
        <w:rPr>
          <w:rStyle w:val="Strong"/>
          <w:b/>
          <w:bCs/>
          <w:sz w:val="20"/>
          <w:szCs w:val="20"/>
          <w:rtl/>
        </w:rPr>
      </w:pPr>
      <w:r w:rsidRPr="00151640">
        <w:rPr>
          <w:rStyle w:val="Strong"/>
          <w:b/>
          <w:bCs/>
          <w:sz w:val="20"/>
          <w:szCs w:val="20"/>
        </w:rPr>
        <w:t>Mahboubeh Ramroodi</w:t>
      </w:r>
      <w:r w:rsidRPr="00151640">
        <w:rPr>
          <w:rStyle w:val="Strong"/>
          <w:b/>
          <w:bCs/>
          <w:sz w:val="20"/>
          <w:szCs w:val="20"/>
          <w:vertAlign w:val="superscript"/>
          <w:rtl/>
        </w:rPr>
        <w:t>4</w:t>
      </w:r>
    </w:p>
    <w:p w14:paraId="64C22C2B" w14:textId="48496E34" w:rsidR="0078259F" w:rsidRDefault="00D964B3" w:rsidP="00541B41">
      <w:pPr>
        <w:pStyle w:val="Heading1"/>
        <w:bidi w:val="0"/>
        <w:spacing w:line="276" w:lineRule="auto"/>
        <w:rPr>
          <w:b w:val="0"/>
          <w:bCs w:val="0"/>
        </w:rPr>
      </w:pPr>
      <w:r w:rsidRPr="003D763F">
        <w:rPr>
          <w:rStyle w:val="Strong"/>
        </w:rPr>
        <w:t xml:space="preserve">4. </w:t>
      </w:r>
      <w:r w:rsidR="00541B41" w:rsidRPr="00541B41">
        <w:rPr>
          <w:b w:val="0"/>
          <w:bCs w:val="0"/>
        </w:rPr>
        <w:t>Bachelor of Midwifery, Payambar-e Aazam (PBUH) Hospital, Zahedan, Iran</w:t>
      </w:r>
    </w:p>
    <w:p w14:paraId="7C5D2A2E" w14:textId="1D7945B8" w:rsidR="006462BD" w:rsidRPr="00151640" w:rsidRDefault="00BF12D5" w:rsidP="006462BD">
      <w:pPr>
        <w:rPr>
          <w:b/>
          <w:bCs/>
        </w:rPr>
      </w:pPr>
      <w:r>
        <w:rPr>
          <w:b/>
          <w:bCs/>
        </w:rPr>
        <w:t>Mahdi Shara</w:t>
      </w:r>
      <w:bookmarkStart w:id="4" w:name="_GoBack"/>
      <w:bookmarkEnd w:id="4"/>
      <w:r w:rsidR="006462BD" w:rsidRPr="00151640">
        <w:rPr>
          <w:b/>
          <w:bCs/>
        </w:rPr>
        <w:t xml:space="preserve">fi </w:t>
      </w:r>
      <w:r w:rsidR="006462BD" w:rsidRPr="00151640">
        <w:rPr>
          <w:b/>
          <w:bCs/>
          <w:vertAlign w:val="superscript"/>
        </w:rPr>
        <w:t>5</w:t>
      </w:r>
    </w:p>
    <w:p w14:paraId="1D2832C1" w14:textId="083C6CBD" w:rsidR="006462BD" w:rsidRPr="006462BD" w:rsidRDefault="006462BD" w:rsidP="00BF12D5">
      <w:r w:rsidRPr="006462BD">
        <w:t xml:space="preserve">5. </w:t>
      </w:r>
      <w:r w:rsidR="000A4FDD" w:rsidRPr="000A4FDD">
        <w:t>Nurse Researcher, Clinical Research Development Unit,</w:t>
      </w:r>
      <w:r w:rsidR="00BF12D5">
        <w:t>Shohaday</w:t>
      </w:r>
      <w:r w:rsidR="000A4FDD" w:rsidRPr="000A4FDD">
        <w:t xml:space="preserve"> Ashayer Hospital, Lorestan University of Medical Sciences, Khorramabad, Iran</w:t>
      </w:r>
    </w:p>
    <w:p w14:paraId="44158F44" w14:textId="77777777" w:rsidR="006462BD" w:rsidRPr="006462BD" w:rsidRDefault="006462BD" w:rsidP="006462BD"/>
    <w:p w14:paraId="3245E58C" w14:textId="77777777" w:rsidR="00284FD9" w:rsidRPr="00453101" w:rsidRDefault="00284FD9" w:rsidP="00284FD9">
      <w:pPr>
        <w:spacing w:before="100" w:beforeAutospacing="1" w:after="100" w:afterAutospacing="1" w:line="360" w:lineRule="auto"/>
        <w:outlineLvl w:val="3"/>
        <w:rPr>
          <w:rStyle w:val="Strong"/>
          <w:rFonts w:asciiTheme="majorBidi" w:hAnsiTheme="majorBidi" w:cstheme="majorBidi"/>
          <w:sz w:val="24"/>
          <w:szCs w:val="24"/>
        </w:rPr>
      </w:pPr>
      <w:r w:rsidRPr="00453101">
        <w:rPr>
          <w:rStyle w:val="Strong"/>
          <w:rFonts w:asciiTheme="majorBidi" w:hAnsiTheme="majorBidi" w:cstheme="majorBidi"/>
          <w:sz w:val="24"/>
          <w:szCs w:val="24"/>
        </w:rPr>
        <w:t>Abstract</w:t>
      </w:r>
    </w:p>
    <w:p w14:paraId="3E83F42A" w14:textId="77777777" w:rsidR="00284FD9" w:rsidRPr="003D763F" w:rsidRDefault="00284FD9" w:rsidP="003D763F">
      <w:pPr>
        <w:spacing w:before="100" w:beforeAutospacing="1" w:after="100" w:afterAutospacing="1" w:line="360" w:lineRule="auto"/>
        <w:rPr>
          <w:rStyle w:val="Strong"/>
          <w:rFonts w:asciiTheme="majorBidi" w:hAnsiTheme="majorBidi" w:cstheme="majorBidi"/>
          <w:b w:val="0"/>
          <w:bCs w:val="0"/>
          <w:sz w:val="24"/>
          <w:szCs w:val="24"/>
        </w:rPr>
      </w:pPr>
      <w:r w:rsidRPr="00453101">
        <w:rPr>
          <w:rStyle w:val="Strong"/>
          <w:rFonts w:asciiTheme="majorBidi" w:hAnsiTheme="majorBidi" w:cstheme="majorBidi"/>
          <w:sz w:val="24"/>
          <w:szCs w:val="24"/>
        </w:rPr>
        <w:t>Background</w:t>
      </w:r>
      <w:r w:rsidRPr="003D763F">
        <w:rPr>
          <w:rStyle w:val="Strong"/>
          <w:rFonts w:asciiTheme="majorBidi" w:hAnsiTheme="majorBidi" w:cstheme="majorBidi"/>
          <w:b w:val="0"/>
          <w:bCs w:val="0"/>
          <w:sz w:val="24"/>
          <w:szCs w:val="24"/>
        </w:rPr>
        <w:t>: The global population is aging rapidly, leading to an increased prevalence of chronic conditions and multimorbidity. Digital health technologies (DHTs) offer a promising avenue to support older adults in managing their health. This review aims to synthesize evidence on the types, effectiveness, and challenges of DHTs for empowering older adults in self-managing chronic diseases.</w:t>
      </w:r>
    </w:p>
    <w:p w14:paraId="673AD3F6" w14:textId="77777777" w:rsidR="00284FD9" w:rsidRPr="003D763F" w:rsidRDefault="00284FD9" w:rsidP="003D763F">
      <w:pPr>
        <w:spacing w:before="100" w:beforeAutospacing="1" w:after="100" w:afterAutospacing="1" w:line="360" w:lineRule="auto"/>
        <w:rPr>
          <w:rStyle w:val="Strong"/>
          <w:rFonts w:asciiTheme="majorBidi" w:hAnsiTheme="majorBidi" w:cstheme="majorBidi"/>
          <w:b w:val="0"/>
          <w:bCs w:val="0"/>
          <w:sz w:val="24"/>
          <w:szCs w:val="24"/>
        </w:rPr>
      </w:pPr>
      <w:r w:rsidRPr="00453101">
        <w:rPr>
          <w:rStyle w:val="Strong"/>
          <w:rFonts w:asciiTheme="majorBidi" w:hAnsiTheme="majorBidi" w:cstheme="majorBidi"/>
          <w:sz w:val="24"/>
          <w:szCs w:val="24"/>
        </w:rPr>
        <w:t>Methods</w:t>
      </w:r>
      <w:r w:rsidRPr="003D763F">
        <w:rPr>
          <w:rStyle w:val="Strong"/>
          <w:rFonts w:asciiTheme="majorBidi" w:hAnsiTheme="majorBidi" w:cstheme="majorBidi"/>
          <w:b w:val="0"/>
          <w:bCs w:val="0"/>
          <w:sz w:val="24"/>
          <w:szCs w:val="24"/>
        </w:rPr>
        <w:t>: A comprehensive literature search was conducted in PubMed, Web of Science, and Scopus for articles published between 2018 and 2024. Keywords included "digital health," "mHealth," "telemedicine," "older adults," "self-management," and "chronic disease." Included studies focused on DHT interventions for adults aged 65+ with at least one chronic condition.</w:t>
      </w:r>
    </w:p>
    <w:p w14:paraId="56E26300" w14:textId="77777777" w:rsidR="00284FD9" w:rsidRPr="003D763F" w:rsidRDefault="00284FD9" w:rsidP="003D763F">
      <w:pPr>
        <w:spacing w:before="100" w:beforeAutospacing="1" w:after="100" w:afterAutospacing="1" w:line="360" w:lineRule="auto"/>
        <w:rPr>
          <w:rStyle w:val="Strong"/>
          <w:rFonts w:asciiTheme="majorBidi" w:hAnsiTheme="majorBidi" w:cstheme="majorBidi"/>
          <w:b w:val="0"/>
          <w:bCs w:val="0"/>
          <w:sz w:val="24"/>
          <w:szCs w:val="24"/>
        </w:rPr>
      </w:pPr>
      <w:r w:rsidRPr="00453101">
        <w:rPr>
          <w:rStyle w:val="Strong"/>
          <w:rFonts w:asciiTheme="majorBidi" w:hAnsiTheme="majorBidi" w:cstheme="majorBidi"/>
          <w:sz w:val="24"/>
          <w:szCs w:val="24"/>
        </w:rPr>
        <w:t>Results</w:t>
      </w:r>
      <w:r w:rsidRPr="003D763F">
        <w:rPr>
          <w:rStyle w:val="Strong"/>
          <w:rFonts w:asciiTheme="majorBidi" w:hAnsiTheme="majorBidi" w:cstheme="majorBidi"/>
          <w:b w:val="0"/>
          <w:bCs w:val="0"/>
          <w:sz w:val="24"/>
          <w:szCs w:val="24"/>
        </w:rPr>
        <w:t>: 15 key studies were synthesized. DHTs were categorized into: 1) Telehealth and remote monitoring systems, 2) Mobile health applications (mHealth), and 3) Wearable devices. Findings indicate that DHTs can significantly improve medication adherence, enhance symptom monitoring, and increase patient engagement. However, challenges such as digital literacy, accessibility, and data privacy concerns were prominent.</w:t>
      </w:r>
    </w:p>
    <w:p w14:paraId="45FCE0A6" w14:textId="77777777" w:rsidR="00284FD9" w:rsidRPr="003D763F" w:rsidRDefault="00284FD9" w:rsidP="003D763F">
      <w:pPr>
        <w:spacing w:before="100" w:beforeAutospacing="1" w:after="100" w:afterAutospacing="1" w:line="360" w:lineRule="auto"/>
        <w:rPr>
          <w:rStyle w:val="Strong"/>
          <w:rFonts w:asciiTheme="majorBidi" w:hAnsiTheme="majorBidi" w:cstheme="majorBidi"/>
          <w:b w:val="0"/>
          <w:bCs w:val="0"/>
          <w:sz w:val="24"/>
          <w:szCs w:val="24"/>
        </w:rPr>
      </w:pPr>
      <w:r w:rsidRPr="00453101">
        <w:rPr>
          <w:rStyle w:val="Strong"/>
          <w:rFonts w:asciiTheme="majorBidi" w:hAnsiTheme="majorBidi" w:cstheme="majorBidi"/>
          <w:sz w:val="24"/>
          <w:szCs w:val="24"/>
        </w:rPr>
        <w:t>Conclusion</w:t>
      </w:r>
      <w:r w:rsidRPr="003D763F">
        <w:rPr>
          <w:rStyle w:val="Strong"/>
          <w:rFonts w:asciiTheme="majorBidi" w:hAnsiTheme="majorBidi" w:cstheme="majorBidi"/>
          <w:b w:val="0"/>
          <w:bCs w:val="0"/>
          <w:sz w:val="24"/>
          <w:szCs w:val="24"/>
        </w:rPr>
        <w:t xml:space="preserve">: Digital health technologies hold significant potential for empowering older adults in self-management. Successful implementation requires user-centered design, tailored support for </w:t>
      </w:r>
      <w:r w:rsidRPr="003D763F">
        <w:rPr>
          <w:rStyle w:val="Strong"/>
          <w:rFonts w:asciiTheme="majorBidi" w:hAnsiTheme="majorBidi" w:cstheme="majorBidi"/>
          <w:b w:val="0"/>
          <w:bCs w:val="0"/>
          <w:sz w:val="24"/>
          <w:szCs w:val="24"/>
        </w:rPr>
        <w:lastRenderedPageBreak/>
        <w:t>technology adoption, and integration into existing healthcare frameworks. Future research should focus on long-term efficacy and overcoming barriers to access.</w:t>
      </w:r>
    </w:p>
    <w:p w14:paraId="37FD1D97" w14:textId="77777777" w:rsidR="00453101" w:rsidRDefault="00453101" w:rsidP="003D763F">
      <w:pPr>
        <w:spacing w:before="100" w:beforeAutospacing="1" w:after="100" w:afterAutospacing="1" w:line="480" w:lineRule="auto"/>
        <w:rPr>
          <w:rStyle w:val="Strong"/>
          <w:rFonts w:asciiTheme="majorBidi" w:hAnsiTheme="majorBidi" w:cstheme="majorBidi"/>
          <w:b w:val="0"/>
          <w:bCs w:val="0"/>
          <w:sz w:val="24"/>
          <w:szCs w:val="24"/>
        </w:rPr>
      </w:pPr>
    </w:p>
    <w:p w14:paraId="4B4E1259" w14:textId="77777777" w:rsidR="00453101" w:rsidRDefault="00453101" w:rsidP="00453101">
      <w:pPr>
        <w:spacing w:before="100" w:beforeAutospacing="1" w:after="100" w:afterAutospacing="1" w:line="480" w:lineRule="auto"/>
        <w:rPr>
          <w:rStyle w:val="Strong"/>
          <w:rFonts w:asciiTheme="majorBidi" w:hAnsiTheme="majorBidi" w:cstheme="majorBidi"/>
          <w:b w:val="0"/>
          <w:bCs w:val="0"/>
          <w:sz w:val="24"/>
          <w:szCs w:val="24"/>
        </w:rPr>
      </w:pPr>
    </w:p>
    <w:p w14:paraId="11431E7E" w14:textId="39D69E7A" w:rsidR="00284FD9" w:rsidRPr="003D763F" w:rsidRDefault="00284FD9" w:rsidP="00453101">
      <w:pPr>
        <w:spacing w:before="100" w:beforeAutospacing="1" w:after="100" w:afterAutospacing="1" w:line="480" w:lineRule="auto"/>
        <w:rPr>
          <w:rStyle w:val="Strong"/>
          <w:rFonts w:asciiTheme="majorBidi" w:hAnsiTheme="majorBidi" w:cstheme="majorBidi"/>
          <w:b w:val="0"/>
          <w:bCs w:val="0"/>
          <w:sz w:val="24"/>
          <w:szCs w:val="24"/>
        </w:rPr>
      </w:pPr>
      <w:r w:rsidRPr="00453101">
        <w:rPr>
          <w:rStyle w:val="Strong"/>
          <w:rFonts w:asciiTheme="majorBidi" w:hAnsiTheme="majorBidi" w:cstheme="majorBidi"/>
          <w:sz w:val="24"/>
          <w:szCs w:val="24"/>
        </w:rPr>
        <w:t>Keywords</w:t>
      </w:r>
      <w:r w:rsidRPr="003D763F">
        <w:rPr>
          <w:rStyle w:val="Strong"/>
          <w:rFonts w:asciiTheme="majorBidi" w:hAnsiTheme="majorBidi" w:cstheme="majorBidi"/>
          <w:b w:val="0"/>
          <w:bCs w:val="0"/>
          <w:sz w:val="24"/>
          <w:szCs w:val="24"/>
        </w:rPr>
        <w:t>: Digital Health, Older Adults, Self-Management, Chronic Disease, Telemedicine, Health.</w:t>
      </w:r>
    </w:p>
    <w:p w14:paraId="56F5879C" w14:textId="77777777" w:rsidR="00284FD9" w:rsidRPr="003D763F" w:rsidRDefault="005A012B" w:rsidP="003D763F">
      <w:pPr>
        <w:spacing w:line="480" w:lineRule="auto"/>
        <w:rPr>
          <w:rStyle w:val="Strong"/>
          <w:rFonts w:asciiTheme="majorBidi" w:hAnsiTheme="majorBidi" w:cstheme="majorBidi"/>
          <w:b w:val="0"/>
          <w:bCs w:val="0"/>
          <w:sz w:val="24"/>
          <w:szCs w:val="24"/>
        </w:rPr>
      </w:pPr>
      <w:r>
        <w:rPr>
          <w:rStyle w:val="Strong"/>
          <w:rFonts w:asciiTheme="majorBidi" w:hAnsiTheme="majorBidi" w:cstheme="majorBidi"/>
          <w:b w:val="0"/>
          <w:bCs w:val="0"/>
          <w:sz w:val="24"/>
          <w:szCs w:val="24"/>
        </w:rPr>
        <w:pict w14:anchorId="7C5B852C">
          <v:rect id="_x0000_i1025" style="width:0;height:1.5pt" o:hralign="center" o:hrstd="t" o:hr="t" fillcolor="#a0a0a0" stroked="f"/>
        </w:pict>
      </w:r>
    </w:p>
    <w:p w14:paraId="6B9939FC" w14:textId="77777777" w:rsidR="003D763F" w:rsidRPr="003D763F" w:rsidRDefault="003D763F" w:rsidP="003D763F">
      <w:pPr>
        <w:spacing w:before="100" w:beforeAutospacing="1" w:after="100" w:afterAutospacing="1" w:line="480" w:lineRule="auto"/>
        <w:outlineLvl w:val="3"/>
        <w:rPr>
          <w:rStyle w:val="Strong"/>
          <w:rFonts w:asciiTheme="majorBidi" w:hAnsiTheme="majorBidi" w:cstheme="majorBidi"/>
          <w:b w:val="0"/>
          <w:bCs w:val="0"/>
          <w:sz w:val="24"/>
          <w:szCs w:val="24"/>
        </w:rPr>
      </w:pPr>
    </w:p>
    <w:p w14:paraId="24606296" w14:textId="77777777" w:rsidR="00284FD9" w:rsidRPr="00453101" w:rsidRDefault="00284FD9" w:rsidP="003D763F">
      <w:pPr>
        <w:spacing w:before="100" w:beforeAutospacing="1" w:after="100" w:afterAutospacing="1" w:line="480" w:lineRule="auto"/>
        <w:outlineLvl w:val="3"/>
        <w:rPr>
          <w:rStyle w:val="Strong"/>
          <w:rFonts w:asciiTheme="majorBidi" w:hAnsiTheme="majorBidi" w:cstheme="majorBidi"/>
          <w:sz w:val="24"/>
          <w:szCs w:val="24"/>
        </w:rPr>
      </w:pPr>
      <w:r w:rsidRPr="00453101">
        <w:rPr>
          <w:rStyle w:val="Strong"/>
          <w:rFonts w:asciiTheme="majorBidi" w:hAnsiTheme="majorBidi" w:cstheme="majorBidi"/>
          <w:sz w:val="24"/>
          <w:szCs w:val="24"/>
        </w:rPr>
        <w:t>1. Introduction</w:t>
      </w:r>
    </w:p>
    <w:p w14:paraId="20B2D216" w14:textId="77777777" w:rsidR="00284FD9" w:rsidRPr="003D763F" w:rsidRDefault="00284FD9" w:rsidP="003D763F">
      <w:p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The 21st century is characterized by a demographic shift towards an aging population. By 2050, it is projected that one in six people globally will be over age 65 [1]. This aging trend is accompanied by a higher burden of chronic non-communicable diseases (NCDs) such as hypertension, diabetes, and heart failure, often leading to multimorbidity [2]. Traditional healthcare models, which are often reactive and episodic, struggle to meet the complex needs of this population.</w:t>
      </w:r>
    </w:p>
    <w:p w14:paraId="17018F85" w14:textId="59015051" w:rsidR="00453101" w:rsidRPr="003D763F" w:rsidRDefault="00284FD9" w:rsidP="00453101">
      <w:p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Self-management—where patients actively manage their symptoms, treatment, and lifestyle changes—is a cornerstone of effective chronic disease care [3]. However, older adults face unique barriers to self-management, including physical limitations, cognitive decline, and social isolation. Digital Health Technologies (DHTs), encompassing telehealth, mobile apps, and wearables, present a transformative opportunity to overcome these barriers. They can provide continuous support, real-time feedback, and a connection to healthcare providers outside clinical settings [4]. This review explores the current landscape of DHTs, their effectiveness in empowering older adults, and the challenges hindering their widespread adoption.</w:t>
      </w:r>
    </w:p>
    <w:p w14:paraId="30FF7DD5" w14:textId="77777777" w:rsidR="00284FD9" w:rsidRPr="00453101" w:rsidRDefault="00284FD9" w:rsidP="003D763F">
      <w:pPr>
        <w:spacing w:before="100" w:beforeAutospacing="1" w:after="100" w:afterAutospacing="1" w:line="480" w:lineRule="auto"/>
        <w:outlineLvl w:val="3"/>
        <w:rPr>
          <w:rStyle w:val="Strong"/>
          <w:rFonts w:asciiTheme="majorBidi" w:hAnsiTheme="majorBidi" w:cstheme="majorBidi"/>
          <w:sz w:val="24"/>
          <w:szCs w:val="24"/>
        </w:rPr>
      </w:pPr>
      <w:r w:rsidRPr="00453101">
        <w:rPr>
          <w:rStyle w:val="Strong"/>
          <w:rFonts w:asciiTheme="majorBidi" w:hAnsiTheme="majorBidi" w:cstheme="majorBidi"/>
          <w:sz w:val="24"/>
          <w:szCs w:val="24"/>
        </w:rPr>
        <w:lastRenderedPageBreak/>
        <w:t>2. Methods</w:t>
      </w:r>
    </w:p>
    <w:p w14:paraId="1368C001" w14:textId="77777777" w:rsidR="00453101" w:rsidRDefault="00453101" w:rsidP="003D763F">
      <w:pPr>
        <w:spacing w:before="100" w:beforeAutospacing="1" w:after="100" w:afterAutospacing="1" w:line="480" w:lineRule="auto"/>
        <w:rPr>
          <w:rStyle w:val="Strong"/>
          <w:rFonts w:asciiTheme="majorBidi" w:hAnsiTheme="majorBidi" w:cstheme="majorBidi"/>
          <w:b w:val="0"/>
          <w:bCs w:val="0"/>
          <w:sz w:val="24"/>
          <w:szCs w:val="24"/>
        </w:rPr>
      </w:pPr>
    </w:p>
    <w:p w14:paraId="08085A5A" w14:textId="77777777" w:rsidR="00453101" w:rsidRDefault="00453101" w:rsidP="003D763F">
      <w:pPr>
        <w:spacing w:before="100" w:beforeAutospacing="1" w:after="100" w:afterAutospacing="1" w:line="480" w:lineRule="auto"/>
        <w:rPr>
          <w:rStyle w:val="Strong"/>
          <w:rFonts w:asciiTheme="majorBidi" w:hAnsiTheme="majorBidi" w:cstheme="majorBidi"/>
          <w:b w:val="0"/>
          <w:bCs w:val="0"/>
          <w:sz w:val="24"/>
          <w:szCs w:val="24"/>
        </w:rPr>
      </w:pPr>
    </w:p>
    <w:p w14:paraId="14BF655B" w14:textId="77777777" w:rsidR="00453101" w:rsidRDefault="00453101" w:rsidP="003D763F">
      <w:pPr>
        <w:spacing w:before="100" w:beforeAutospacing="1" w:after="100" w:afterAutospacing="1" w:line="480" w:lineRule="auto"/>
        <w:rPr>
          <w:rStyle w:val="Strong"/>
          <w:rFonts w:asciiTheme="majorBidi" w:hAnsiTheme="majorBidi" w:cstheme="majorBidi"/>
          <w:b w:val="0"/>
          <w:bCs w:val="0"/>
          <w:sz w:val="24"/>
          <w:szCs w:val="24"/>
        </w:rPr>
      </w:pPr>
    </w:p>
    <w:p w14:paraId="6A1F1E15" w14:textId="21B76C38" w:rsidR="00453101" w:rsidRDefault="00284FD9" w:rsidP="003D763F">
      <w:p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 xml:space="preserve">This narrative review synthesized evidence from peer-reviewed literature. A systematic search strategy was employed using electronic databases (PubMed, Web of Science, Scopus) for articles published between 2018 and 2024. Search terms included combinations of: ("digital health" OR </w:t>
      </w:r>
    </w:p>
    <w:p w14:paraId="2B6A8E98" w14:textId="77777777" w:rsidR="00453101" w:rsidRDefault="00453101" w:rsidP="00453101">
      <w:pPr>
        <w:spacing w:before="100" w:beforeAutospacing="1" w:after="100" w:afterAutospacing="1" w:line="480" w:lineRule="auto"/>
        <w:rPr>
          <w:rStyle w:val="Strong"/>
          <w:rFonts w:asciiTheme="majorBidi" w:hAnsiTheme="majorBidi" w:cstheme="majorBidi"/>
          <w:b w:val="0"/>
          <w:bCs w:val="0"/>
          <w:sz w:val="24"/>
          <w:szCs w:val="24"/>
        </w:rPr>
      </w:pPr>
    </w:p>
    <w:p w14:paraId="548B2ED1" w14:textId="253989DC" w:rsidR="00284FD9" w:rsidRPr="003D763F" w:rsidRDefault="00284FD9" w:rsidP="00453101">
      <w:p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"telemedicine" OR "mHealth" OR "wearable devices") AND ("older adults" OR "aging" OR "elderly") AND ("self-management" OR "chronic disease management") AND ("empowerment" OR "patient engagement"). Inclusion criteria focused on studies involving participants with a mean age of 65+, interventions utilizing DHTs, and outcomes related to self-management. Editorials and non-English articles were excluded.</w:t>
      </w:r>
    </w:p>
    <w:p w14:paraId="7A8FEAFA" w14:textId="77777777" w:rsidR="00284FD9" w:rsidRPr="00453101" w:rsidRDefault="00284FD9" w:rsidP="003D763F">
      <w:pPr>
        <w:spacing w:before="100" w:beforeAutospacing="1" w:after="100" w:afterAutospacing="1" w:line="480" w:lineRule="auto"/>
        <w:outlineLvl w:val="3"/>
        <w:rPr>
          <w:rStyle w:val="Strong"/>
          <w:rFonts w:asciiTheme="majorBidi" w:hAnsiTheme="majorBidi" w:cstheme="majorBidi"/>
          <w:sz w:val="24"/>
          <w:szCs w:val="24"/>
        </w:rPr>
      </w:pPr>
      <w:r w:rsidRPr="00453101">
        <w:rPr>
          <w:rStyle w:val="Strong"/>
          <w:rFonts w:asciiTheme="majorBidi" w:hAnsiTheme="majorBidi" w:cstheme="majorBidi"/>
          <w:sz w:val="24"/>
          <w:szCs w:val="24"/>
        </w:rPr>
        <w:t>3. Results and Discussion</w:t>
      </w:r>
    </w:p>
    <w:p w14:paraId="7E367DF7" w14:textId="77777777" w:rsidR="00284FD9" w:rsidRPr="00453101" w:rsidRDefault="00284FD9" w:rsidP="003D763F">
      <w:pPr>
        <w:spacing w:before="100" w:beforeAutospacing="1" w:after="100" w:afterAutospacing="1" w:line="480" w:lineRule="auto"/>
        <w:rPr>
          <w:rStyle w:val="Strong"/>
          <w:rFonts w:asciiTheme="majorBidi" w:hAnsiTheme="majorBidi" w:cstheme="majorBidi"/>
          <w:sz w:val="24"/>
          <w:szCs w:val="24"/>
        </w:rPr>
      </w:pPr>
      <w:r w:rsidRPr="00453101">
        <w:rPr>
          <w:rStyle w:val="Strong"/>
          <w:rFonts w:asciiTheme="majorBidi" w:hAnsiTheme="majorBidi" w:cstheme="majorBidi"/>
          <w:sz w:val="24"/>
          <w:szCs w:val="24"/>
        </w:rPr>
        <w:t>3.1. Types of Digital Health Technologies for Older Adults</w:t>
      </w:r>
    </w:p>
    <w:p w14:paraId="0B8B6465" w14:textId="77777777" w:rsidR="00284FD9" w:rsidRPr="003D763F" w:rsidRDefault="00284FD9" w:rsidP="003D763F">
      <w:pPr>
        <w:numPr>
          <w:ilvl w:val="0"/>
          <w:numId w:val="16"/>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Telehealth and Remote Patient Monitoring (RPM): These platforms allow virtual consultations and remote transmission of health data (e.g., blood pressure, blood glucose) to healthcare providers. Studies show RPM can reduce hospital readmissions and improve control of conditions like heart failure [5, 6].</w:t>
      </w:r>
    </w:p>
    <w:p w14:paraId="7D972D50" w14:textId="7F4F94DB" w:rsidR="00284FD9" w:rsidRDefault="00284FD9" w:rsidP="003D763F">
      <w:pPr>
        <w:numPr>
          <w:ilvl w:val="0"/>
          <w:numId w:val="16"/>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 xml:space="preserve">Mobile Health Applications (mHealth): Smartphone apps can facilitate medication reminders (e.g., pill reminder apps), track symptoms, provide educational content, and offer cognitive </w:t>
      </w:r>
      <w:r w:rsidRPr="003D763F">
        <w:rPr>
          <w:rStyle w:val="Strong"/>
          <w:rFonts w:asciiTheme="majorBidi" w:hAnsiTheme="majorBidi" w:cstheme="majorBidi"/>
          <w:b w:val="0"/>
          <w:bCs w:val="0"/>
          <w:sz w:val="24"/>
          <w:szCs w:val="24"/>
        </w:rPr>
        <w:lastRenderedPageBreak/>
        <w:t>training games. Their effectiveness is highly dependent on usability and design tailored for older users [7, 8].</w:t>
      </w:r>
    </w:p>
    <w:p w14:paraId="2B0E9444" w14:textId="3AC9C3F9" w:rsidR="00453101" w:rsidRDefault="00453101" w:rsidP="00453101">
      <w:pPr>
        <w:spacing w:before="100" w:beforeAutospacing="1" w:after="100" w:afterAutospacing="1" w:line="480" w:lineRule="auto"/>
        <w:rPr>
          <w:rStyle w:val="Strong"/>
          <w:rFonts w:asciiTheme="majorBidi" w:hAnsiTheme="majorBidi" w:cstheme="majorBidi"/>
          <w:b w:val="0"/>
          <w:bCs w:val="0"/>
          <w:sz w:val="24"/>
          <w:szCs w:val="24"/>
        </w:rPr>
      </w:pPr>
    </w:p>
    <w:p w14:paraId="696FF5E8" w14:textId="77777777" w:rsidR="00453101" w:rsidRPr="003D763F" w:rsidRDefault="00453101" w:rsidP="00453101">
      <w:pPr>
        <w:spacing w:before="100" w:beforeAutospacing="1" w:after="100" w:afterAutospacing="1" w:line="480" w:lineRule="auto"/>
        <w:rPr>
          <w:rStyle w:val="Strong"/>
          <w:rFonts w:asciiTheme="majorBidi" w:hAnsiTheme="majorBidi" w:cstheme="majorBidi"/>
          <w:b w:val="0"/>
          <w:bCs w:val="0"/>
          <w:sz w:val="24"/>
          <w:szCs w:val="24"/>
        </w:rPr>
      </w:pPr>
    </w:p>
    <w:p w14:paraId="2BB23FDD" w14:textId="77777777" w:rsidR="00284FD9" w:rsidRPr="003D763F" w:rsidRDefault="00284FD9" w:rsidP="003D763F">
      <w:pPr>
        <w:numPr>
          <w:ilvl w:val="0"/>
          <w:numId w:val="16"/>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Wearable Devices: Devices like smartwatches and fitness trackers monitor physical activity, heart rate, and sleep patterns. They promote physical activity and provide early warnings for potential health issues [9, 10].</w:t>
      </w:r>
    </w:p>
    <w:p w14:paraId="7048C70A" w14:textId="77777777" w:rsidR="00284FD9" w:rsidRPr="003D763F" w:rsidRDefault="00284FD9" w:rsidP="003D763F">
      <w:pPr>
        <w:spacing w:before="100" w:beforeAutospacing="1" w:after="100" w:afterAutospacing="1" w:line="480" w:lineRule="auto"/>
        <w:rPr>
          <w:rStyle w:val="Strong"/>
          <w:rFonts w:asciiTheme="majorBidi" w:hAnsiTheme="majorBidi" w:cstheme="majorBidi"/>
          <w:b w:val="0"/>
          <w:bCs w:val="0"/>
          <w:sz w:val="24"/>
          <w:szCs w:val="24"/>
        </w:rPr>
      </w:pPr>
      <w:r w:rsidRPr="00453101">
        <w:rPr>
          <w:rStyle w:val="Strong"/>
          <w:rFonts w:asciiTheme="majorBidi" w:hAnsiTheme="majorBidi" w:cstheme="majorBidi"/>
          <w:sz w:val="24"/>
          <w:szCs w:val="24"/>
        </w:rPr>
        <w:t>3.2. Effectiveness in Empowerment and Self-Management</w:t>
      </w:r>
      <w:r w:rsidRPr="003D763F">
        <w:rPr>
          <w:rStyle w:val="Strong"/>
          <w:rFonts w:asciiTheme="majorBidi" w:hAnsiTheme="majorBidi" w:cstheme="majorBidi"/>
          <w:b w:val="0"/>
          <w:bCs w:val="0"/>
          <w:sz w:val="24"/>
          <w:szCs w:val="24"/>
        </w:rPr>
        <w:br/>
        <w:t>The reviewed literature suggests DHTs contribute to empowerment through:</w:t>
      </w:r>
    </w:p>
    <w:p w14:paraId="0C9E64D1" w14:textId="48978232" w:rsidR="00453101" w:rsidRPr="00453101" w:rsidRDefault="00284FD9" w:rsidP="00453101">
      <w:pPr>
        <w:numPr>
          <w:ilvl w:val="0"/>
          <w:numId w:val="17"/>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Improved Knowledge and Health Literacy: Access to reliable information helps older adults understand their conditions better [11].</w:t>
      </w:r>
    </w:p>
    <w:p w14:paraId="73F85E73" w14:textId="77777777" w:rsidR="00284FD9" w:rsidRPr="003D763F" w:rsidRDefault="00284FD9" w:rsidP="003D763F">
      <w:pPr>
        <w:numPr>
          <w:ilvl w:val="0"/>
          <w:numId w:val="17"/>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Enhanced Medication Adherence: Automated reminders significantly reduce missed doses [12].</w:t>
      </w:r>
    </w:p>
    <w:p w14:paraId="1A4C4CA1" w14:textId="77777777" w:rsidR="00284FD9" w:rsidRPr="003D763F" w:rsidRDefault="00284FD9" w:rsidP="003D763F">
      <w:pPr>
        <w:numPr>
          <w:ilvl w:val="0"/>
          <w:numId w:val="17"/>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Increased Engagement and Autonomy: Real-time data allows individuals to see the direct impact of their behaviors, fostering a sense of control [13].</w:t>
      </w:r>
    </w:p>
    <w:p w14:paraId="7C2470DC" w14:textId="77777777" w:rsidR="00284FD9" w:rsidRPr="003D763F" w:rsidRDefault="00284FD9" w:rsidP="003D763F">
      <w:pPr>
        <w:numPr>
          <w:ilvl w:val="0"/>
          <w:numId w:val="17"/>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Better Symptom Monitoring: Early detection of symptom exacerbation enables timely intervention, preventing complications [14].</w:t>
      </w:r>
    </w:p>
    <w:p w14:paraId="1D0AA6DA" w14:textId="77777777" w:rsidR="00284FD9" w:rsidRPr="003D763F" w:rsidRDefault="00284FD9" w:rsidP="003D763F">
      <w:pPr>
        <w:spacing w:before="100" w:beforeAutospacing="1" w:after="100" w:afterAutospacing="1" w:line="480" w:lineRule="auto"/>
        <w:rPr>
          <w:rStyle w:val="Strong"/>
          <w:rFonts w:asciiTheme="majorBidi" w:hAnsiTheme="majorBidi" w:cstheme="majorBidi"/>
          <w:b w:val="0"/>
          <w:bCs w:val="0"/>
          <w:sz w:val="24"/>
          <w:szCs w:val="24"/>
        </w:rPr>
      </w:pPr>
      <w:r w:rsidRPr="00453101">
        <w:rPr>
          <w:rStyle w:val="Strong"/>
          <w:rFonts w:asciiTheme="majorBidi" w:hAnsiTheme="majorBidi" w:cstheme="majorBidi"/>
          <w:sz w:val="24"/>
          <w:szCs w:val="24"/>
        </w:rPr>
        <w:t>3.3. Challenges and Barriers</w:t>
      </w:r>
      <w:r w:rsidRPr="003D763F">
        <w:rPr>
          <w:rStyle w:val="Strong"/>
          <w:rFonts w:asciiTheme="majorBidi" w:hAnsiTheme="majorBidi" w:cstheme="majorBidi"/>
          <w:b w:val="0"/>
          <w:bCs w:val="0"/>
          <w:sz w:val="24"/>
          <w:szCs w:val="24"/>
        </w:rPr>
        <w:br/>
        <w:t>Despite the potential, significant challenges remain:</w:t>
      </w:r>
    </w:p>
    <w:p w14:paraId="3CAFC7A5" w14:textId="77777777" w:rsidR="00284FD9" w:rsidRPr="003D763F" w:rsidRDefault="00284FD9" w:rsidP="003D763F">
      <w:pPr>
        <w:numPr>
          <w:ilvl w:val="0"/>
          <w:numId w:val="18"/>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Digital Divide: A portion of the older adult population lacks access to technology or the internet [15].</w:t>
      </w:r>
    </w:p>
    <w:p w14:paraId="3E8AE599" w14:textId="77777777" w:rsidR="00284FD9" w:rsidRPr="003D763F" w:rsidRDefault="00284FD9" w:rsidP="003D763F">
      <w:pPr>
        <w:numPr>
          <w:ilvl w:val="0"/>
          <w:numId w:val="18"/>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lastRenderedPageBreak/>
        <w:t>Usability and Design: Interfaces that are not age-friendly (e.g., small fonts, complex navigation) hinder adoption [7].</w:t>
      </w:r>
    </w:p>
    <w:p w14:paraId="7197048F" w14:textId="13FB2873" w:rsidR="00284FD9" w:rsidRDefault="00284FD9" w:rsidP="003D763F">
      <w:pPr>
        <w:numPr>
          <w:ilvl w:val="0"/>
          <w:numId w:val="18"/>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Privacy and Security Concerns: Older adults may be wary of sharing personal health data online [16].</w:t>
      </w:r>
    </w:p>
    <w:p w14:paraId="254B7C93" w14:textId="77777777" w:rsidR="00453101" w:rsidRPr="003D763F" w:rsidRDefault="00453101" w:rsidP="00453101">
      <w:pPr>
        <w:spacing w:before="100" w:beforeAutospacing="1" w:after="100" w:afterAutospacing="1" w:line="480" w:lineRule="auto"/>
        <w:rPr>
          <w:rStyle w:val="Strong"/>
          <w:rFonts w:asciiTheme="majorBidi" w:hAnsiTheme="majorBidi" w:cstheme="majorBidi"/>
          <w:b w:val="0"/>
          <w:bCs w:val="0"/>
          <w:sz w:val="24"/>
          <w:szCs w:val="24"/>
        </w:rPr>
      </w:pPr>
    </w:p>
    <w:p w14:paraId="4996C3F5" w14:textId="77777777" w:rsidR="00284FD9" w:rsidRPr="003D763F" w:rsidRDefault="00284FD9" w:rsidP="003D763F">
      <w:pPr>
        <w:numPr>
          <w:ilvl w:val="0"/>
          <w:numId w:val="18"/>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Cognitive and Physical Limitations: Vision impairment, hearing loss, or dexterity issues can make technology difficult to use [17].</w:t>
      </w:r>
    </w:p>
    <w:p w14:paraId="37E857F5" w14:textId="77777777" w:rsidR="00284FD9" w:rsidRPr="00453101" w:rsidRDefault="00284FD9" w:rsidP="003D763F">
      <w:pPr>
        <w:spacing w:before="100" w:beforeAutospacing="1" w:after="100" w:afterAutospacing="1" w:line="480" w:lineRule="auto"/>
        <w:outlineLvl w:val="3"/>
        <w:rPr>
          <w:rStyle w:val="Strong"/>
          <w:rFonts w:asciiTheme="majorBidi" w:hAnsiTheme="majorBidi" w:cstheme="majorBidi"/>
          <w:sz w:val="24"/>
          <w:szCs w:val="24"/>
        </w:rPr>
      </w:pPr>
      <w:r w:rsidRPr="00453101">
        <w:rPr>
          <w:rStyle w:val="Strong"/>
          <w:rFonts w:asciiTheme="majorBidi" w:hAnsiTheme="majorBidi" w:cstheme="majorBidi"/>
          <w:sz w:val="24"/>
          <w:szCs w:val="24"/>
        </w:rPr>
        <w:t>4. Conclusion and Future Directions</w:t>
      </w:r>
    </w:p>
    <w:p w14:paraId="6783368E" w14:textId="77777777" w:rsidR="00284FD9" w:rsidRPr="003D763F" w:rsidRDefault="00284FD9" w:rsidP="003D763F">
      <w:p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Digital health technologies are powerful tools that can empower older adults to take an active role in managing their chronic conditions, potentially leading to improved health outcomes and quality of life. However, their success is not guaranteed. To realize their full potential, a multi-faceted approach is necessary:</w:t>
      </w:r>
    </w:p>
    <w:p w14:paraId="2FD0DCA6" w14:textId="0DA78F4B" w:rsidR="00284FD9" w:rsidRDefault="00284FD9" w:rsidP="003D763F">
      <w:pPr>
        <w:numPr>
          <w:ilvl w:val="0"/>
          <w:numId w:val="19"/>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User-Centered Design: Technologies must be co-designed with older adults to ensure they are intuitive, accessible, and meet real-world needs.</w:t>
      </w:r>
    </w:p>
    <w:p w14:paraId="7030E0A6" w14:textId="77777777" w:rsidR="00453101" w:rsidRPr="003D763F" w:rsidRDefault="00453101" w:rsidP="00453101">
      <w:pPr>
        <w:spacing w:before="100" w:beforeAutospacing="1" w:after="100" w:afterAutospacing="1" w:line="480" w:lineRule="auto"/>
        <w:ind w:left="720"/>
        <w:rPr>
          <w:rStyle w:val="Strong"/>
          <w:rFonts w:asciiTheme="majorBidi" w:hAnsiTheme="majorBidi" w:cstheme="majorBidi"/>
          <w:b w:val="0"/>
          <w:bCs w:val="0"/>
          <w:sz w:val="24"/>
          <w:szCs w:val="24"/>
        </w:rPr>
      </w:pPr>
    </w:p>
    <w:p w14:paraId="7AAD97D4" w14:textId="77777777" w:rsidR="00284FD9" w:rsidRPr="003D763F" w:rsidRDefault="00284FD9" w:rsidP="003D763F">
      <w:pPr>
        <w:numPr>
          <w:ilvl w:val="0"/>
          <w:numId w:val="19"/>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Support and Training: Providing ongoing technical support is crucial for building digital literacy and confidence.</w:t>
      </w:r>
    </w:p>
    <w:p w14:paraId="70A6A3D0" w14:textId="77777777" w:rsidR="00284FD9" w:rsidRPr="003D763F" w:rsidRDefault="00284FD9" w:rsidP="003D763F">
      <w:pPr>
        <w:numPr>
          <w:ilvl w:val="0"/>
          <w:numId w:val="19"/>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Integration into Care: DHTs should be seamlessly integrated into clinical workflows, with data being actionable for healthcare providers.</w:t>
      </w:r>
    </w:p>
    <w:p w14:paraId="43E74FE2" w14:textId="77777777" w:rsidR="00284FD9" w:rsidRPr="003D763F" w:rsidRDefault="00284FD9" w:rsidP="003D763F">
      <w:p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lastRenderedPageBreak/>
        <w:t>Future research should focus on developing standardized methods for evaluating the long-term impact of DHTs and designing effective strategies to bridge the digital divide, ensuring equitable access for all older adults.</w:t>
      </w:r>
    </w:p>
    <w:p w14:paraId="1BF06B8B" w14:textId="27133230" w:rsidR="00284FD9" w:rsidRDefault="005A012B" w:rsidP="003D763F">
      <w:pPr>
        <w:spacing w:line="480" w:lineRule="auto"/>
        <w:rPr>
          <w:rStyle w:val="Strong"/>
          <w:rFonts w:asciiTheme="majorBidi" w:hAnsiTheme="majorBidi" w:cstheme="majorBidi"/>
          <w:b w:val="0"/>
          <w:bCs w:val="0"/>
          <w:sz w:val="24"/>
          <w:szCs w:val="24"/>
        </w:rPr>
      </w:pPr>
      <w:r>
        <w:rPr>
          <w:rStyle w:val="Strong"/>
          <w:rFonts w:asciiTheme="majorBidi" w:hAnsiTheme="majorBidi" w:cstheme="majorBidi"/>
          <w:b w:val="0"/>
          <w:bCs w:val="0"/>
          <w:sz w:val="24"/>
          <w:szCs w:val="24"/>
        </w:rPr>
        <w:pict w14:anchorId="5E10D1CF">
          <v:rect id="_x0000_i1026" style="width:0;height:1.5pt" o:hralign="center" o:hrstd="t" o:hr="t" fillcolor="#a0a0a0" stroked="f"/>
        </w:pict>
      </w:r>
    </w:p>
    <w:p w14:paraId="26792A6A" w14:textId="67F18ED8" w:rsidR="00453101" w:rsidRDefault="00453101" w:rsidP="00453101">
      <w:pPr>
        <w:spacing w:line="480" w:lineRule="auto"/>
        <w:rPr>
          <w:rStyle w:val="Strong"/>
          <w:rFonts w:asciiTheme="majorBidi" w:hAnsiTheme="majorBidi" w:cstheme="majorBidi"/>
          <w:b w:val="0"/>
          <w:bCs w:val="0"/>
          <w:sz w:val="24"/>
          <w:szCs w:val="24"/>
        </w:rPr>
      </w:pPr>
    </w:p>
    <w:p w14:paraId="3901D19B" w14:textId="7E88FC60" w:rsidR="00453101" w:rsidRDefault="00453101" w:rsidP="00453101">
      <w:pPr>
        <w:spacing w:line="480" w:lineRule="auto"/>
        <w:rPr>
          <w:rStyle w:val="Strong"/>
          <w:rFonts w:asciiTheme="majorBidi" w:hAnsiTheme="majorBidi" w:cstheme="majorBidi"/>
          <w:b w:val="0"/>
          <w:bCs w:val="0"/>
          <w:sz w:val="24"/>
          <w:szCs w:val="24"/>
        </w:rPr>
      </w:pPr>
    </w:p>
    <w:p w14:paraId="6846F4EB" w14:textId="77777777" w:rsidR="00453101" w:rsidRPr="003D763F" w:rsidRDefault="00453101" w:rsidP="00453101">
      <w:pPr>
        <w:spacing w:line="480" w:lineRule="auto"/>
        <w:rPr>
          <w:rStyle w:val="Strong"/>
          <w:rFonts w:asciiTheme="majorBidi" w:hAnsiTheme="majorBidi" w:cstheme="majorBidi"/>
          <w:b w:val="0"/>
          <w:bCs w:val="0"/>
          <w:sz w:val="24"/>
          <w:szCs w:val="24"/>
        </w:rPr>
      </w:pPr>
    </w:p>
    <w:p w14:paraId="6D07B4BD" w14:textId="18DA7DBE" w:rsidR="00453101" w:rsidRPr="00453101" w:rsidRDefault="00284FD9" w:rsidP="00453101">
      <w:pPr>
        <w:spacing w:before="100" w:beforeAutospacing="1" w:after="100" w:afterAutospacing="1" w:line="480" w:lineRule="auto"/>
        <w:outlineLvl w:val="3"/>
        <w:rPr>
          <w:rStyle w:val="Strong"/>
          <w:rFonts w:asciiTheme="majorBidi" w:hAnsiTheme="majorBidi" w:cstheme="majorBidi"/>
          <w:sz w:val="24"/>
          <w:szCs w:val="24"/>
        </w:rPr>
      </w:pPr>
      <w:r w:rsidRPr="00453101">
        <w:rPr>
          <w:rStyle w:val="Strong"/>
          <w:rFonts w:asciiTheme="majorBidi" w:hAnsiTheme="majorBidi" w:cstheme="majorBidi"/>
          <w:sz w:val="24"/>
          <w:szCs w:val="24"/>
        </w:rPr>
        <w:t>References (Format: Vancouver Style)</w:t>
      </w:r>
      <w:r w:rsidR="00A16294">
        <w:rPr>
          <w:rStyle w:val="Strong"/>
          <w:rFonts w:asciiTheme="majorBidi" w:hAnsiTheme="majorBidi" w:cstheme="majorBidi"/>
          <w:sz w:val="24"/>
          <w:szCs w:val="24"/>
        </w:rPr>
        <w:t xml:space="preserve"> </w:t>
      </w:r>
    </w:p>
    <w:p w14:paraId="358EC039"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United Nations, Department of Economic and Social Affairs, Population Division. World Population Ageing 2020 Highlights. 2020.</w:t>
      </w:r>
    </w:p>
    <w:p w14:paraId="40711C01"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Barnett K, Mercer SW, Norbury M, Watt G, Wyke S, Guthrie B. Epidemiology of multimorbidity and implications for health care, research, and medical education: a cross-sectional study. Lancet. 2012;380(9836):37-43.</w:t>
      </w:r>
    </w:p>
    <w:p w14:paraId="4E4C2F46"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Lorig KR, Holman H. Self-management education: history, definition, outcomes, and mechanisms. Ann Behav Med. 2003;26(1):1-7.</w:t>
      </w:r>
    </w:p>
    <w:p w14:paraId="5BBE7342"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Fatehi F, Menon A, Bird D. Diabetes care in the digital era: a state-of-the-art review of telehealth and wearable technology. J Diabetes Sci Technol. 2021;15(3):587-595.</w:t>
      </w:r>
    </w:p>
    <w:p w14:paraId="34589B38"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Noah B, Keller MS, Mosadeghi S, et al. Impact of remote patient monitoring on clinical outcomes: an updated meta-analysis of randomized controlled trials. NPJ Digit Med. 2018;1:20172.</w:t>
      </w:r>
    </w:p>
    <w:p w14:paraId="464790EE"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Kitsiou S, Paré G, Jaana M. Effects of home telemonitoring interventions on patients with chronic heart failure: an overview of systematic reviews. J Med Internet Res. 2015;17(3):e63.</w:t>
      </w:r>
    </w:p>
    <w:p w14:paraId="428FCF48"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lastRenderedPageBreak/>
        <w:t>Wildenbos GA, Peute L, Jaspers M. Aging barriers influencing mobile health usability for older adults: A literature review. Int J Med Inform. 2018;114:1-11.</w:t>
      </w:r>
    </w:p>
    <w:p w14:paraId="220FC850"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Byambasuren O, Beller E, Glasziou P. Current Knowledge and Adoption of Mobile Health Apps Among Australian General Practitioners: Survey Study. JMIR Mhealth Uhealth. 2019;7(6):e13199.</w:t>
      </w:r>
    </w:p>
    <w:p w14:paraId="52845FA8"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Sim I. Mobile Devices and Health. N Engl J Med. 2019;381(10):956-968.</w:t>
      </w:r>
    </w:p>
    <w:p w14:paraId="3B568B85"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Lu L, Zhang J, Xie Y, et al. Wearable health devices and personal health management: An empirical study from China. Ind Manag Data Syst. 2020;120(7):1349-1367.</w:t>
      </w:r>
    </w:p>
    <w:p w14:paraId="02333ED8"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Bujnowska-Fedak MM, Grata-Borkowska U. Use of telemedicine-based care for the aging and elderly: Promises and pitfalls. Smart Homecare Technol Telehealth. 2015;3:91-105.</w:t>
      </w:r>
    </w:p>
    <w:p w14:paraId="02FE8990"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Park LG, Howie-Esquivel J, Dracup K. A quantitative systematic review of the efficacy of mobile phone interventions to improve medication adherence. J Adv Nurs. 2014;70(9):1932-1953.</w:t>
      </w:r>
    </w:p>
    <w:p w14:paraId="79F0096A"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Miller AS, Cafazzo JA, Seto E. A game plan: Gamification design principles in mHealth applications for chronic disease management. Health Informatics J. 2016;22(2):184-193.</w:t>
      </w:r>
    </w:p>
    <w:p w14:paraId="08A62FE0"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Koehler F, Koehler K, Deckwart O, et al. Efficacy of telemedical interventional management in patients with heart failure (TIM-HF2): a randomised, controlled, parallel-group, unmasked trial. Lancet. 2018;392(10152):1047-1057.</w:t>
      </w:r>
    </w:p>
    <w:p w14:paraId="6A8766D6"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Changizi M, Kaveh MH. Effectiveness of the mHealth technology in improvement of healthy behaviors in an elderly population—a systematic review. mHealth. 2017;3:51.</w:t>
      </w:r>
    </w:p>
    <w:p w14:paraId="6780FE00"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Iwaya LH, Babar MA, Ahmad A, Steen M. Security and privacy for mHealth and uHealth systems: a systematic mapping study. IEEE Access. 2020;8:150081-150112.</w:t>
      </w:r>
    </w:p>
    <w:p w14:paraId="5A9D332B" w14:textId="77777777" w:rsidR="00284FD9" w:rsidRPr="003D763F" w:rsidRDefault="00284FD9" w:rsidP="003D763F">
      <w:pPr>
        <w:numPr>
          <w:ilvl w:val="0"/>
          <w:numId w:val="20"/>
        </w:numPr>
        <w:spacing w:before="100" w:beforeAutospacing="1" w:after="100" w:afterAutospacing="1" w:line="480" w:lineRule="auto"/>
        <w:rPr>
          <w:rStyle w:val="Strong"/>
          <w:rFonts w:asciiTheme="majorBidi" w:hAnsiTheme="majorBidi" w:cstheme="majorBidi"/>
          <w:b w:val="0"/>
          <w:bCs w:val="0"/>
          <w:sz w:val="24"/>
          <w:szCs w:val="24"/>
        </w:rPr>
      </w:pPr>
      <w:r w:rsidRPr="003D763F">
        <w:rPr>
          <w:rStyle w:val="Strong"/>
          <w:rFonts w:asciiTheme="majorBidi" w:hAnsiTheme="majorBidi" w:cstheme="majorBidi"/>
          <w:b w:val="0"/>
          <w:bCs w:val="0"/>
          <w:sz w:val="24"/>
          <w:szCs w:val="24"/>
        </w:rPr>
        <w:t>Mitzner TL, Boron JB, Fausset CB, et al. Older adults talk technology: Technology usage and attitudes. Comput Human Behav. 2010;26(6):1710-1721.</w:t>
      </w:r>
    </w:p>
    <w:p w14:paraId="2AA3ECC0" w14:textId="77777777" w:rsidR="00992AEA" w:rsidRPr="003D763F" w:rsidRDefault="00992AEA" w:rsidP="003D763F">
      <w:pPr>
        <w:spacing w:line="480" w:lineRule="auto"/>
        <w:jc w:val="both"/>
        <w:rPr>
          <w:rStyle w:val="Strong"/>
          <w:rFonts w:asciiTheme="majorBidi" w:hAnsiTheme="majorBidi" w:cstheme="majorBidi"/>
          <w:b w:val="0"/>
          <w:bCs w:val="0"/>
          <w:sz w:val="24"/>
          <w:szCs w:val="24"/>
        </w:rPr>
      </w:pPr>
    </w:p>
    <w:sectPr w:rsidR="00992AEA" w:rsidRPr="003D763F" w:rsidSect="003D763F">
      <w:headerReference w:type="default" r:id="rId8"/>
      <w:footerReference w:type="even" r:id="rId9"/>
      <w:footerReference w:type="default" r:id="rId10"/>
      <w:type w:val="continuous"/>
      <w:pgSz w:w="11907" w:h="16840"/>
      <w:pgMar w:top="1440" w:right="1080" w:bottom="1440" w:left="1080"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6E829" w14:textId="77777777" w:rsidR="005A012B" w:rsidRDefault="005A012B">
      <w:r>
        <w:separator/>
      </w:r>
    </w:p>
  </w:endnote>
  <w:endnote w:type="continuationSeparator" w:id="0">
    <w:p w14:paraId="1A916A17" w14:textId="77777777" w:rsidR="005A012B" w:rsidRDefault="005A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Courier New"/>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6050C9D1"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BF12D5">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444E0" w14:textId="77777777" w:rsidR="005A012B" w:rsidRDefault="005A012B" w:rsidP="0010114F">
      <w:pPr>
        <w:bidi/>
      </w:pPr>
      <w:r>
        <w:separator/>
      </w:r>
    </w:p>
  </w:footnote>
  <w:footnote w:type="continuationSeparator" w:id="0">
    <w:p w14:paraId="41F55C2E" w14:textId="77777777" w:rsidR="005A012B" w:rsidRDefault="005A01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153029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A714A38"/>
    <w:multiLevelType w:val="multilevel"/>
    <w:tmpl w:val="FF364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2BE551D"/>
    <w:multiLevelType w:val="multilevel"/>
    <w:tmpl w:val="DF705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922873"/>
    <w:multiLevelType w:val="hybridMultilevel"/>
    <w:tmpl w:val="C53AE82C"/>
    <w:lvl w:ilvl="0" w:tplc="76A887AE">
      <w:start w:val="1"/>
      <w:numFmt w:val="decimal"/>
      <w:lvlText w:val="%1."/>
      <w:lvlJc w:val="left"/>
      <w:pPr>
        <w:ind w:left="720" w:hanging="360"/>
      </w:pPr>
      <w:rPr>
        <w:rFonts w:eastAsia="Calibri"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393501"/>
    <w:multiLevelType w:val="multilevel"/>
    <w:tmpl w:val="70946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4236882"/>
    <w:multiLevelType w:val="multilevel"/>
    <w:tmpl w:val="FC3AC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6ACB3BAD"/>
    <w:multiLevelType w:val="multilevel"/>
    <w:tmpl w:val="2BBC1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F207EDD"/>
    <w:multiLevelType w:val="hybridMultilevel"/>
    <w:tmpl w:val="507AB852"/>
    <w:lvl w:ilvl="0" w:tplc="EF9E1712">
      <w:start w:val="1"/>
      <w:numFmt w:val="decimal"/>
      <w:lvlText w:val="%1."/>
      <w:lvlJc w:val="left"/>
      <w:pPr>
        <w:ind w:left="720" w:hanging="360"/>
      </w:pPr>
      <w:rPr>
        <w:rFonts w:eastAsia="Calibri"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5"/>
  </w:num>
  <w:num w:numId="3">
    <w:abstractNumId w:val="21"/>
  </w:num>
  <w:num w:numId="4">
    <w:abstractNumId w:val="0"/>
  </w:num>
  <w:num w:numId="5">
    <w:abstractNumId w:val="8"/>
  </w:num>
  <w:num w:numId="6">
    <w:abstractNumId w:val="19"/>
  </w:num>
  <w:num w:numId="7">
    <w:abstractNumId w:val="1"/>
  </w:num>
  <w:num w:numId="8">
    <w:abstractNumId w:val="13"/>
  </w:num>
  <w:num w:numId="9">
    <w:abstractNumId w:val="18"/>
  </w:num>
  <w:num w:numId="10">
    <w:abstractNumId w:val="3"/>
  </w:num>
  <w:num w:numId="11">
    <w:abstractNumId w:val="11"/>
  </w:num>
  <w:num w:numId="12">
    <w:abstractNumId w:val="4"/>
  </w:num>
  <w:num w:numId="13">
    <w:abstractNumId w:val="16"/>
  </w:num>
  <w:num w:numId="14">
    <w:abstractNumId w:val="20"/>
  </w:num>
  <w:num w:numId="15">
    <w:abstractNumId w:val="15"/>
  </w:num>
  <w:num w:numId="16">
    <w:abstractNumId w:val="2"/>
  </w:num>
  <w:num w:numId="17">
    <w:abstractNumId w:val="10"/>
  </w:num>
  <w:num w:numId="18">
    <w:abstractNumId w:val="14"/>
  </w:num>
  <w:num w:numId="19">
    <w:abstractNumId w:val="12"/>
  </w:num>
  <w:num w:numId="20">
    <w:abstractNumId w:val="6"/>
  </w:num>
  <w:num w:numId="21">
    <w:abstractNumId w:val="17"/>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3A03"/>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4FDD"/>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16DE9"/>
    <w:rsid w:val="00124265"/>
    <w:rsid w:val="00124A9A"/>
    <w:rsid w:val="00126E0F"/>
    <w:rsid w:val="0013044A"/>
    <w:rsid w:val="0013069E"/>
    <w:rsid w:val="00131AD7"/>
    <w:rsid w:val="0013403B"/>
    <w:rsid w:val="00134809"/>
    <w:rsid w:val="001416CC"/>
    <w:rsid w:val="00142AF8"/>
    <w:rsid w:val="00151640"/>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4FD9"/>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2DE8"/>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D763F"/>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3101"/>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1B41"/>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A012B"/>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62BD"/>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259F"/>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817A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667"/>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16294"/>
    <w:rsid w:val="00A20104"/>
    <w:rsid w:val="00A2013B"/>
    <w:rsid w:val="00A20B96"/>
    <w:rsid w:val="00A24693"/>
    <w:rsid w:val="00A26AAF"/>
    <w:rsid w:val="00A26D40"/>
    <w:rsid w:val="00A30CE2"/>
    <w:rsid w:val="00A405D7"/>
    <w:rsid w:val="00A41B25"/>
    <w:rsid w:val="00A4224C"/>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6047"/>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12D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64B3"/>
    <w:rsid w:val="00D972C0"/>
    <w:rsid w:val="00D978C0"/>
    <w:rsid w:val="00DA12A0"/>
    <w:rsid w:val="00DA2E27"/>
    <w:rsid w:val="00DA3E17"/>
    <w:rsid w:val="00DA49C8"/>
    <w:rsid w:val="00DA7C83"/>
    <w:rsid w:val="00DB0046"/>
    <w:rsid w:val="00DB0EB3"/>
    <w:rsid w:val="00DB2B94"/>
    <w:rsid w:val="00DB2F05"/>
    <w:rsid w:val="00DB6DEA"/>
    <w:rsid w:val="00DC27AC"/>
    <w:rsid w:val="00DC7FD8"/>
    <w:rsid w:val="00DD093A"/>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link w:val="Heading1Char"/>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character" w:styleId="SubtleEmphasis">
    <w:name w:val="Subtle Emphasis"/>
    <w:basedOn w:val="DefaultParagraphFont"/>
    <w:uiPriority w:val="19"/>
    <w:qFormat/>
    <w:rsid w:val="003D763F"/>
    <w:rPr>
      <w:i/>
      <w:iCs/>
      <w:color w:val="404040" w:themeColor="text1" w:themeTint="BF"/>
    </w:rPr>
  </w:style>
  <w:style w:type="character" w:customStyle="1" w:styleId="Heading1Char">
    <w:name w:val="Heading 1 Char"/>
    <w:basedOn w:val="DefaultParagraphFont"/>
    <w:link w:val="Heading1"/>
    <w:rsid w:val="00D978C0"/>
    <w:rPr>
      <w:rFonts w:cs="Nazanin"/>
      <w:b/>
      <w:bCs/>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82586550">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34864440">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56E71-6EA5-4B53-A68B-98B03ABCC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8</Pages>
  <Words>1526</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RePack by Diakov</cp:lastModifiedBy>
  <cp:revision>12</cp:revision>
  <cp:lastPrinted>2007-05-16T03:26:00Z</cp:lastPrinted>
  <dcterms:created xsi:type="dcterms:W3CDTF">2025-09-27T11:05:00Z</dcterms:created>
  <dcterms:modified xsi:type="dcterms:W3CDTF">2025-12-14T11:44:00Z</dcterms:modified>
</cp:coreProperties>
</file>