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616BE" w:rsidRPr="00E57F14" w:rsidRDefault="004616BE" w:rsidP="004616BE">
      <w:pPr>
        <w:rPr>
          <w:rFonts w:asciiTheme="majorBidi" w:hAnsiTheme="majorBidi" w:cstheme="majorBidi"/>
          <w:b/>
          <w:bCs/>
          <w:sz w:val="24"/>
          <w:szCs w:val="24"/>
        </w:rPr>
      </w:pPr>
      <w:r w:rsidRPr="00E57F14">
        <w:rPr>
          <w:rFonts w:asciiTheme="majorBidi" w:hAnsiTheme="majorBidi" w:cstheme="majorBidi"/>
          <w:b/>
          <w:bCs/>
          <w:sz w:val="24"/>
          <w:szCs w:val="24"/>
        </w:rPr>
        <w:t>Equity in Healthcare: Challenges and Solutions from the Perspectives of Nursing, Pediatrics, and Gynecology</w:t>
      </w:r>
    </w:p>
    <w:p w:rsidR="004616BE" w:rsidRPr="004616BE" w:rsidRDefault="004616BE" w:rsidP="004616BE">
      <w:pPr>
        <w:rPr>
          <w:b/>
          <w:bCs/>
        </w:rPr>
      </w:pPr>
      <w:r w:rsidRPr="004616BE">
        <w:rPr>
          <w:b/>
          <w:bCs/>
        </w:rPr>
        <w:t>Authors:</w:t>
      </w:r>
    </w:p>
    <w:p w:rsidR="004616BE" w:rsidRPr="00E57F14" w:rsidRDefault="004616BE" w:rsidP="004616BE">
      <w:pPr>
        <w:numPr>
          <w:ilvl w:val="0"/>
          <w:numId w:val="14"/>
        </w:numPr>
        <w:rPr>
          <w:rFonts w:asciiTheme="majorBidi" w:hAnsiTheme="majorBidi" w:cstheme="majorBidi"/>
          <w:b/>
          <w:bCs/>
          <w:sz w:val="18"/>
          <w:szCs w:val="18"/>
        </w:rPr>
      </w:pPr>
      <w:proofErr w:type="spellStart"/>
      <w:r w:rsidRPr="00E57F14">
        <w:rPr>
          <w:rFonts w:asciiTheme="majorBidi" w:hAnsiTheme="majorBidi" w:cstheme="majorBidi"/>
          <w:b/>
          <w:bCs/>
          <w:sz w:val="18"/>
          <w:szCs w:val="18"/>
        </w:rPr>
        <w:t>Minoo</w:t>
      </w:r>
      <w:proofErr w:type="spellEnd"/>
      <w:r w:rsidRPr="00E57F14">
        <w:rPr>
          <w:rFonts w:asciiTheme="majorBidi" w:hAnsiTheme="majorBidi" w:cstheme="majorBidi"/>
          <w:b/>
          <w:bCs/>
          <w:sz w:val="18"/>
          <w:szCs w:val="18"/>
        </w:rPr>
        <w:t xml:space="preserve"> </w:t>
      </w:r>
      <w:proofErr w:type="spellStart"/>
      <w:r w:rsidRPr="00E57F14">
        <w:rPr>
          <w:rFonts w:asciiTheme="majorBidi" w:hAnsiTheme="majorBidi" w:cstheme="majorBidi"/>
          <w:b/>
          <w:bCs/>
          <w:sz w:val="18"/>
          <w:szCs w:val="18"/>
        </w:rPr>
        <w:t>Atamanesh</w:t>
      </w:r>
      <w:proofErr w:type="spellEnd"/>
      <w:r w:rsidRPr="00E57F14">
        <w:rPr>
          <w:rFonts w:asciiTheme="majorBidi" w:hAnsiTheme="majorBidi" w:cstheme="majorBidi"/>
          <w:b/>
          <w:bCs/>
          <w:sz w:val="18"/>
          <w:szCs w:val="18"/>
        </w:rPr>
        <w:br/>
        <w:t>Department of Pediatrics, School of Medicine, Tehran University of Medical Sciences, Tehran, Iran</w:t>
      </w:r>
    </w:p>
    <w:p w:rsidR="004616BE" w:rsidRPr="00E57F14" w:rsidRDefault="004616BE" w:rsidP="004616BE">
      <w:pPr>
        <w:numPr>
          <w:ilvl w:val="0"/>
          <w:numId w:val="14"/>
        </w:numPr>
        <w:rPr>
          <w:rFonts w:asciiTheme="majorBidi" w:hAnsiTheme="majorBidi" w:cstheme="majorBidi"/>
          <w:b/>
          <w:bCs/>
          <w:sz w:val="18"/>
          <w:szCs w:val="18"/>
        </w:rPr>
      </w:pPr>
      <w:proofErr w:type="spellStart"/>
      <w:r w:rsidRPr="00E57F14">
        <w:rPr>
          <w:rFonts w:asciiTheme="majorBidi" w:hAnsiTheme="majorBidi" w:cstheme="majorBidi"/>
          <w:b/>
          <w:bCs/>
          <w:sz w:val="18"/>
          <w:szCs w:val="18"/>
        </w:rPr>
        <w:t>Mahsa</w:t>
      </w:r>
      <w:proofErr w:type="spellEnd"/>
      <w:r w:rsidRPr="00E57F14">
        <w:rPr>
          <w:rFonts w:asciiTheme="majorBidi" w:hAnsiTheme="majorBidi" w:cstheme="majorBidi"/>
          <w:b/>
          <w:bCs/>
          <w:sz w:val="18"/>
          <w:szCs w:val="18"/>
        </w:rPr>
        <w:t xml:space="preserve"> </w:t>
      </w:r>
      <w:proofErr w:type="spellStart"/>
      <w:r w:rsidRPr="00E57F14">
        <w:rPr>
          <w:rFonts w:asciiTheme="majorBidi" w:hAnsiTheme="majorBidi" w:cstheme="majorBidi"/>
          <w:b/>
          <w:bCs/>
          <w:sz w:val="18"/>
          <w:szCs w:val="18"/>
        </w:rPr>
        <w:t>Rezaie</w:t>
      </w:r>
      <w:proofErr w:type="spellEnd"/>
      <w:r w:rsidRPr="00E57F14">
        <w:rPr>
          <w:rFonts w:asciiTheme="majorBidi" w:hAnsiTheme="majorBidi" w:cstheme="majorBidi"/>
          <w:b/>
          <w:bCs/>
          <w:sz w:val="18"/>
          <w:szCs w:val="18"/>
        </w:rPr>
        <w:t xml:space="preserve"> </w:t>
      </w:r>
      <w:proofErr w:type="spellStart"/>
      <w:r w:rsidRPr="00E57F14">
        <w:rPr>
          <w:rFonts w:asciiTheme="majorBidi" w:hAnsiTheme="majorBidi" w:cstheme="majorBidi"/>
          <w:b/>
          <w:bCs/>
          <w:sz w:val="18"/>
          <w:szCs w:val="18"/>
        </w:rPr>
        <w:t>Bonjar</w:t>
      </w:r>
      <w:proofErr w:type="spellEnd"/>
      <w:r w:rsidRPr="00E57F14">
        <w:rPr>
          <w:rFonts w:asciiTheme="majorBidi" w:hAnsiTheme="majorBidi" w:cstheme="majorBidi"/>
          <w:b/>
          <w:bCs/>
          <w:sz w:val="18"/>
          <w:szCs w:val="18"/>
        </w:rPr>
        <w:br/>
        <w:t xml:space="preserve">Department of Obstetrics and Gynecology, Faculty of Medicine, </w:t>
      </w:r>
      <w:proofErr w:type="spellStart"/>
      <w:r w:rsidRPr="00E57F14">
        <w:rPr>
          <w:rFonts w:asciiTheme="majorBidi" w:hAnsiTheme="majorBidi" w:cstheme="majorBidi"/>
          <w:b/>
          <w:bCs/>
          <w:sz w:val="18"/>
          <w:szCs w:val="18"/>
        </w:rPr>
        <w:t>Baqiyatallah</w:t>
      </w:r>
      <w:proofErr w:type="spellEnd"/>
      <w:r w:rsidRPr="00E57F14">
        <w:rPr>
          <w:rFonts w:asciiTheme="majorBidi" w:hAnsiTheme="majorBidi" w:cstheme="majorBidi"/>
          <w:b/>
          <w:bCs/>
          <w:sz w:val="18"/>
          <w:szCs w:val="18"/>
        </w:rPr>
        <w:t xml:space="preserve"> University of Medical Sciences, Tehran, Iran</w:t>
      </w:r>
    </w:p>
    <w:p w:rsidR="004616BE" w:rsidRPr="00E57F14" w:rsidRDefault="004616BE" w:rsidP="004616BE">
      <w:pPr>
        <w:numPr>
          <w:ilvl w:val="0"/>
          <w:numId w:val="14"/>
        </w:numPr>
        <w:rPr>
          <w:rFonts w:asciiTheme="majorBidi" w:hAnsiTheme="majorBidi" w:cstheme="majorBidi"/>
          <w:b/>
          <w:bCs/>
          <w:sz w:val="18"/>
          <w:szCs w:val="18"/>
        </w:rPr>
      </w:pPr>
      <w:proofErr w:type="spellStart"/>
      <w:r w:rsidRPr="00E57F14">
        <w:rPr>
          <w:rFonts w:asciiTheme="majorBidi" w:hAnsiTheme="majorBidi" w:cstheme="majorBidi"/>
          <w:b/>
          <w:bCs/>
          <w:sz w:val="18"/>
          <w:szCs w:val="18"/>
        </w:rPr>
        <w:t>Fatemeh</w:t>
      </w:r>
      <w:proofErr w:type="spellEnd"/>
      <w:r w:rsidRPr="00E57F14">
        <w:rPr>
          <w:rFonts w:asciiTheme="majorBidi" w:hAnsiTheme="majorBidi" w:cstheme="majorBidi"/>
          <w:b/>
          <w:bCs/>
          <w:sz w:val="18"/>
          <w:szCs w:val="18"/>
        </w:rPr>
        <w:t xml:space="preserve"> </w:t>
      </w:r>
      <w:proofErr w:type="spellStart"/>
      <w:r w:rsidRPr="00E57F14">
        <w:rPr>
          <w:rFonts w:asciiTheme="majorBidi" w:hAnsiTheme="majorBidi" w:cstheme="majorBidi"/>
          <w:b/>
          <w:bCs/>
          <w:sz w:val="18"/>
          <w:szCs w:val="18"/>
        </w:rPr>
        <w:t>Ramroudi</w:t>
      </w:r>
      <w:proofErr w:type="spellEnd"/>
      <w:r w:rsidRPr="00E57F14">
        <w:rPr>
          <w:rFonts w:asciiTheme="majorBidi" w:hAnsiTheme="majorBidi" w:cstheme="majorBidi"/>
          <w:b/>
          <w:bCs/>
          <w:sz w:val="18"/>
          <w:szCs w:val="18"/>
        </w:rPr>
        <w:br/>
        <w:t xml:space="preserve">Nursing Department, Ali Ibn Abi </w:t>
      </w:r>
      <w:proofErr w:type="spellStart"/>
      <w:r w:rsidRPr="00E57F14">
        <w:rPr>
          <w:rFonts w:asciiTheme="majorBidi" w:hAnsiTheme="majorBidi" w:cstheme="majorBidi"/>
          <w:b/>
          <w:bCs/>
          <w:sz w:val="18"/>
          <w:szCs w:val="18"/>
        </w:rPr>
        <w:t>Talib</w:t>
      </w:r>
      <w:proofErr w:type="spellEnd"/>
      <w:r w:rsidRPr="00E57F14">
        <w:rPr>
          <w:rFonts w:asciiTheme="majorBidi" w:hAnsiTheme="majorBidi" w:cstheme="majorBidi"/>
          <w:b/>
          <w:bCs/>
          <w:sz w:val="18"/>
          <w:szCs w:val="18"/>
        </w:rPr>
        <w:t xml:space="preserve"> Hospital, Zahedan University of Medical Sciences, Zahedan, Iran</w:t>
      </w:r>
    </w:p>
    <w:p w:rsidR="004616BE" w:rsidRPr="00E57F14" w:rsidRDefault="004616BE" w:rsidP="004616BE">
      <w:pPr>
        <w:numPr>
          <w:ilvl w:val="0"/>
          <w:numId w:val="14"/>
        </w:numPr>
        <w:rPr>
          <w:rFonts w:asciiTheme="majorBidi" w:hAnsiTheme="majorBidi" w:cstheme="majorBidi"/>
          <w:b/>
          <w:bCs/>
          <w:sz w:val="18"/>
          <w:szCs w:val="18"/>
        </w:rPr>
      </w:pPr>
      <w:r w:rsidRPr="00E57F14">
        <w:rPr>
          <w:rFonts w:asciiTheme="majorBidi" w:hAnsiTheme="majorBidi" w:cstheme="majorBidi"/>
          <w:b/>
          <w:bCs/>
          <w:sz w:val="18"/>
          <w:szCs w:val="18"/>
        </w:rPr>
        <w:t xml:space="preserve">Mehdi </w:t>
      </w:r>
      <w:proofErr w:type="spellStart"/>
      <w:r w:rsidRPr="00E57F14">
        <w:rPr>
          <w:rFonts w:asciiTheme="majorBidi" w:hAnsiTheme="majorBidi" w:cstheme="majorBidi"/>
          <w:b/>
          <w:bCs/>
          <w:sz w:val="18"/>
          <w:szCs w:val="18"/>
        </w:rPr>
        <w:t>Sharafi</w:t>
      </w:r>
      <w:proofErr w:type="spellEnd"/>
      <w:r w:rsidRPr="00E57F14">
        <w:rPr>
          <w:rFonts w:asciiTheme="majorBidi" w:hAnsiTheme="majorBidi" w:cstheme="majorBidi"/>
          <w:b/>
          <w:bCs/>
          <w:sz w:val="18"/>
          <w:szCs w:val="18"/>
        </w:rPr>
        <w:br/>
        <w:t xml:space="preserve">Nurse Researcher, Clinical Research Development Unit, </w:t>
      </w:r>
      <w:proofErr w:type="spellStart"/>
      <w:r w:rsidRPr="00E57F14">
        <w:rPr>
          <w:rFonts w:asciiTheme="majorBidi" w:hAnsiTheme="majorBidi" w:cstheme="majorBidi"/>
          <w:b/>
          <w:bCs/>
          <w:sz w:val="18"/>
          <w:szCs w:val="18"/>
        </w:rPr>
        <w:t>Shohaye</w:t>
      </w:r>
      <w:proofErr w:type="spellEnd"/>
      <w:r w:rsidRPr="00E57F14">
        <w:rPr>
          <w:rFonts w:asciiTheme="majorBidi" w:hAnsiTheme="majorBidi" w:cstheme="majorBidi"/>
          <w:b/>
          <w:bCs/>
          <w:sz w:val="18"/>
          <w:szCs w:val="18"/>
        </w:rPr>
        <w:t xml:space="preserve"> </w:t>
      </w:r>
      <w:proofErr w:type="spellStart"/>
      <w:r w:rsidRPr="00E57F14">
        <w:rPr>
          <w:rFonts w:asciiTheme="majorBidi" w:hAnsiTheme="majorBidi" w:cstheme="majorBidi"/>
          <w:b/>
          <w:bCs/>
          <w:sz w:val="18"/>
          <w:szCs w:val="18"/>
        </w:rPr>
        <w:t>Ashayer</w:t>
      </w:r>
      <w:proofErr w:type="spellEnd"/>
      <w:r w:rsidRPr="00E57F14">
        <w:rPr>
          <w:rFonts w:asciiTheme="majorBidi" w:hAnsiTheme="majorBidi" w:cstheme="majorBidi"/>
          <w:b/>
          <w:bCs/>
          <w:sz w:val="18"/>
          <w:szCs w:val="18"/>
        </w:rPr>
        <w:t xml:space="preserve"> Hospital, </w:t>
      </w:r>
      <w:proofErr w:type="spellStart"/>
      <w:r w:rsidRPr="00E57F14">
        <w:rPr>
          <w:rFonts w:asciiTheme="majorBidi" w:hAnsiTheme="majorBidi" w:cstheme="majorBidi"/>
          <w:b/>
          <w:bCs/>
          <w:sz w:val="18"/>
          <w:szCs w:val="18"/>
        </w:rPr>
        <w:t>Lorestan</w:t>
      </w:r>
      <w:proofErr w:type="spellEnd"/>
      <w:r w:rsidRPr="00E57F14">
        <w:rPr>
          <w:rFonts w:asciiTheme="majorBidi" w:hAnsiTheme="majorBidi" w:cstheme="majorBidi"/>
          <w:b/>
          <w:bCs/>
          <w:sz w:val="18"/>
          <w:szCs w:val="18"/>
        </w:rPr>
        <w:t xml:space="preserve"> University of Medical Sciences, Khorramabad, Iran</w:t>
      </w:r>
    </w:p>
    <w:p w:rsidR="004616BE" w:rsidRPr="00E57F14" w:rsidRDefault="004616BE" w:rsidP="004616BE">
      <w:pPr>
        <w:numPr>
          <w:ilvl w:val="0"/>
          <w:numId w:val="14"/>
        </w:numPr>
        <w:rPr>
          <w:rFonts w:asciiTheme="majorBidi" w:hAnsiTheme="majorBidi" w:cstheme="majorBidi"/>
          <w:b/>
          <w:bCs/>
          <w:sz w:val="18"/>
          <w:szCs w:val="18"/>
        </w:rPr>
      </w:pPr>
      <w:proofErr w:type="spellStart"/>
      <w:r w:rsidRPr="00E57F14">
        <w:rPr>
          <w:rFonts w:asciiTheme="majorBidi" w:hAnsiTheme="majorBidi" w:cstheme="majorBidi"/>
          <w:b/>
          <w:bCs/>
          <w:sz w:val="18"/>
          <w:szCs w:val="18"/>
        </w:rPr>
        <w:t>Marzieh</w:t>
      </w:r>
      <w:proofErr w:type="spellEnd"/>
      <w:r w:rsidRPr="00E57F14">
        <w:rPr>
          <w:rFonts w:asciiTheme="majorBidi" w:hAnsiTheme="majorBidi" w:cstheme="majorBidi"/>
          <w:b/>
          <w:bCs/>
          <w:sz w:val="18"/>
          <w:szCs w:val="18"/>
        </w:rPr>
        <w:t xml:space="preserve"> </w:t>
      </w:r>
      <w:proofErr w:type="spellStart"/>
      <w:r w:rsidRPr="00E57F14">
        <w:rPr>
          <w:rFonts w:asciiTheme="majorBidi" w:hAnsiTheme="majorBidi" w:cstheme="majorBidi"/>
          <w:b/>
          <w:bCs/>
          <w:sz w:val="18"/>
          <w:szCs w:val="18"/>
        </w:rPr>
        <w:t>Barati</w:t>
      </w:r>
      <w:proofErr w:type="spellEnd"/>
      <w:r w:rsidRPr="00E57F14">
        <w:rPr>
          <w:rFonts w:asciiTheme="majorBidi" w:hAnsiTheme="majorBidi" w:cstheme="majorBidi"/>
          <w:b/>
          <w:bCs/>
          <w:sz w:val="18"/>
          <w:szCs w:val="18"/>
        </w:rPr>
        <w:t xml:space="preserve"> </w:t>
      </w:r>
      <w:proofErr w:type="spellStart"/>
      <w:r w:rsidRPr="00E57F14">
        <w:rPr>
          <w:rFonts w:asciiTheme="majorBidi" w:hAnsiTheme="majorBidi" w:cstheme="majorBidi"/>
          <w:b/>
          <w:bCs/>
          <w:sz w:val="18"/>
          <w:szCs w:val="18"/>
        </w:rPr>
        <w:t>Golsheikhi</w:t>
      </w:r>
      <w:proofErr w:type="spellEnd"/>
      <w:r w:rsidRPr="00E57F14">
        <w:rPr>
          <w:rFonts w:asciiTheme="majorBidi" w:hAnsiTheme="majorBidi" w:cstheme="majorBidi"/>
          <w:b/>
          <w:bCs/>
          <w:sz w:val="18"/>
          <w:szCs w:val="18"/>
        </w:rPr>
        <w:br/>
      </w:r>
      <w:hyperlink r:id="rId7" w:tgtFrame="_blank" w:history="1">
        <w:r w:rsidR="00E57F14" w:rsidRPr="00E57F14">
          <w:rPr>
            <w:rStyle w:val="Hyperlink"/>
            <w:rFonts w:asciiTheme="majorBidi" w:hAnsiTheme="majorBidi" w:cstheme="majorBidi"/>
            <w:b/>
            <w:bCs/>
            <w:color w:val="auto"/>
            <w:sz w:val="18"/>
            <w:szCs w:val="18"/>
            <w:u w:val="none"/>
          </w:rPr>
          <w:t>M</w:t>
        </w:r>
        <w:r w:rsidRPr="00E57F14">
          <w:rPr>
            <w:rStyle w:val="Hyperlink"/>
            <w:rFonts w:asciiTheme="majorBidi" w:hAnsiTheme="majorBidi" w:cstheme="majorBidi"/>
            <w:b/>
            <w:bCs/>
            <w:color w:val="auto"/>
            <w:sz w:val="18"/>
            <w:szCs w:val="18"/>
            <w:u w:val="none"/>
          </w:rPr>
          <w:t>Sc</w:t>
        </w:r>
      </w:hyperlink>
      <w:r w:rsidRPr="00E57F14">
        <w:rPr>
          <w:rFonts w:asciiTheme="majorBidi" w:hAnsiTheme="majorBidi" w:cstheme="majorBidi"/>
          <w:b/>
          <w:bCs/>
          <w:sz w:val="18"/>
          <w:szCs w:val="18"/>
        </w:rPr>
        <w:t>. of Emergency Nursing, School of Nursing and Midwifery, Tehran University of Medical Sciences, Tehran, Iran</w:t>
      </w:r>
    </w:p>
    <w:p w:rsidR="004616BE" w:rsidRPr="00E57F14" w:rsidRDefault="004616BE" w:rsidP="004616BE">
      <w:pPr>
        <w:numPr>
          <w:ilvl w:val="0"/>
          <w:numId w:val="14"/>
        </w:numPr>
        <w:rPr>
          <w:rFonts w:asciiTheme="majorBidi" w:hAnsiTheme="majorBidi" w:cstheme="majorBidi"/>
          <w:b/>
          <w:bCs/>
          <w:sz w:val="18"/>
          <w:szCs w:val="18"/>
        </w:rPr>
      </w:pPr>
      <w:r w:rsidRPr="00E57F14">
        <w:rPr>
          <w:rFonts w:asciiTheme="majorBidi" w:hAnsiTheme="majorBidi" w:cstheme="majorBidi"/>
          <w:b/>
          <w:bCs/>
          <w:sz w:val="18"/>
          <w:szCs w:val="18"/>
        </w:rPr>
        <w:t xml:space="preserve">Haniyeh </w:t>
      </w:r>
      <w:proofErr w:type="spellStart"/>
      <w:r w:rsidRPr="00E57F14">
        <w:rPr>
          <w:rFonts w:asciiTheme="majorBidi" w:hAnsiTheme="majorBidi" w:cstheme="majorBidi"/>
          <w:b/>
          <w:bCs/>
          <w:sz w:val="18"/>
          <w:szCs w:val="18"/>
        </w:rPr>
        <w:t>Jafardokht</w:t>
      </w:r>
      <w:proofErr w:type="spellEnd"/>
      <w:r w:rsidRPr="00E57F14">
        <w:rPr>
          <w:rFonts w:asciiTheme="majorBidi" w:hAnsiTheme="majorBidi" w:cstheme="majorBidi"/>
          <w:b/>
          <w:bCs/>
          <w:sz w:val="18"/>
          <w:szCs w:val="18"/>
        </w:rPr>
        <w:t xml:space="preserve"> </w:t>
      </w:r>
      <w:proofErr w:type="spellStart"/>
      <w:r w:rsidRPr="00E57F14">
        <w:rPr>
          <w:rFonts w:asciiTheme="majorBidi" w:hAnsiTheme="majorBidi" w:cstheme="majorBidi"/>
          <w:b/>
          <w:bCs/>
          <w:sz w:val="18"/>
          <w:szCs w:val="18"/>
        </w:rPr>
        <w:t>Bonjar</w:t>
      </w:r>
      <w:proofErr w:type="spellEnd"/>
      <w:r w:rsidRPr="00E57F14">
        <w:rPr>
          <w:rFonts w:asciiTheme="majorBidi" w:hAnsiTheme="majorBidi" w:cstheme="majorBidi"/>
          <w:b/>
          <w:bCs/>
          <w:sz w:val="18"/>
          <w:szCs w:val="18"/>
        </w:rPr>
        <w:t>*</w:t>
      </w:r>
      <w:r w:rsidRPr="00E57F14">
        <w:rPr>
          <w:rFonts w:asciiTheme="majorBidi" w:hAnsiTheme="majorBidi" w:cstheme="majorBidi"/>
          <w:b/>
          <w:bCs/>
          <w:sz w:val="18"/>
          <w:szCs w:val="18"/>
        </w:rPr>
        <w:br/>
        <w:t xml:space="preserve">Nursing Department, Social Security Organization, </w:t>
      </w:r>
      <w:proofErr w:type="spellStart"/>
      <w:r w:rsidRPr="00E57F14">
        <w:rPr>
          <w:rFonts w:asciiTheme="majorBidi" w:hAnsiTheme="majorBidi" w:cstheme="majorBidi"/>
          <w:b/>
          <w:bCs/>
          <w:sz w:val="18"/>
          <w:szCs w:val="18"/>
        </w:rPr>
        <w:t>Shahid</w:t>
      </w:r>
      <w:proofErr w:type="spellEnd"/>
      <w:r w:rsidRPr="00E57F14">
        <w:rPr>
          <w:rFonts w:asciiTheme="majorBidi" w:hAnsiTheme="majorBidi" w:cstheme="majorBidi"/>
          <w:b/>
          <w:bCs/>
          <w:sz w:val="18"/>
          <w:szCs w:val="18"/>
        </w:rPr>
        <w:t xml:space="preserve"> </w:t>
      </w:r>
      <w:proofErr w:type="spellStart"/>
      <w:r w:rsidRPr="00E57F14">
        <w:rPr>
          <w:rFonts w:asciiTheme="majorBidi" w:hAnsiTheme="majorBidi" w:cstheme="majorBidi"/>
          <w:b/>
          <w:bCs/>
          <w:sz w:val="18"/>
          <w:szCs w:val="18"/>
        </w:rPr>
        <w:t>Amlaki</w:t>
      </w:r>
      <w:proofErr w:type="spellEnd"/>
      <w:r w:rsidRPr="00E57F14">
        <w:rPr>
          <w:rFonts w:asciiTheme="majorBidi" w:hAnsiTheme="majorBidi" w:cstheme="majorBidi"/>
          <w:b/>
          <w:bCs/>
          <w:sz w:val="18"/>
          <w:szCs w:val="18"/>
        </w:rPr>
        <w:t xml:space="preserve"> </w:t>
      </w:r>
      <w:proofErr w:type="spellStart"/>
      <w:r w:rsidRPr="00E57F14">
        <w:rPr>
          <w:rFonts w:asciiTheme="majorBidi" w:hAnsiTheme="majorBidi" w:cstheme="majorBidi"/>
          <w:b/>
          <w:bCs/>
          <w:sz w:val="18"/>
          <w:szCs w:val="18"/>
        </w:rPr>
        <w:t>Komaleh</w:t>
      </w:r>
      <w:proofErr w:type="spellEnd"/>
      <w:r w:rsidRPr="00E57F14">
        <w:rPr>
          <w:rFonts w:asciiTheme="majorBidi" w:hAnsiTheme="majorBidi" w:cstheme="majorBidi"/>
          <w:b/>
          <w:bCs/>
          <w:sz w:val="18"/>
          <w:szCs w:val="18"/>
        </w:rPr>
        <w:t xml:space="preserve"> Hospital, </w:t>
      </w:r>
      <w:proofErr w:type="spellStart"/>
      <w:r w:rsidRPr="00E57F14">
        <w:rPr>
          <w:rFonts w:asciiTheme="majorBidi" w:hAnsiTheme="majorBidi" w:cstheme="majorBidi"/>
          <w:b/>
          <w:bCs/>
          <w:sz w:val="18"/>
          <w:szCs w:val="18"/>
        </w:rPr>
        <w:t>Langarud</w:t>
      </w:r>
      <w:proofErr w:type="spellEnd"/>
      <w:r w:rsidRPr="00E57F14">
        <w:rPr>
          <w:rFonts w:asciiTheme="majorBidi" w:hAnsiTheme="majorBidi" w:cstheme="majorBidi"/>
          <w:b/>
          <w:bCs/>
          <w:sz w:val="18"/>
          <w:szCs w:val="18"/>
        </w:rPr>
        <w:t>, Iran</w:t>
      </w:r>
    </w:p>
    <w:p w:rsidR="004616BE" w:rsidRPr="004616BE" w:rsidRDefault="00DC1765" w:rsidP="004616BE">
      <w:pPr>
        <w:rPr>
          <w:b/>
          <w:bCs/>
        </w:rPr>
      </w:pPr>
      <w:r>
        <w:rPr>
          <w:b/>
          <w:bCs/>
        </w:rPr>
        <w:pict>
          <v:rect id="_x0000_i1025" style="width:0;height:1.5pt" o:hralign="center" o:hrstd="t" o:hr="t" fillcolor="#a0a0a0" stroked="f"/>
        </w:pict>
      </w:r>
    </w:p>
    <w:p w:rsidR="004616BE" w:rsidRPr="004616BE" w:rsidRDefault="004616BE" w:rsidP="004616BE">
      <w:pPr>
        <w:rPr>
          <w:b/>
          <w:bCs/>
        </w:rPr>
      </w:pPr>
      <w:r w:rsidRPr="004616BE">
        <w:rPr>
          <w:b/>
          <w:bCs/>
        </w:rPr>
        <w:t>Abstract:</w:t>
      </w:r>
      <w:r w:rsidRPr="004616BE">
        <w:rPr>
          <w:b/>
          <w:bCs/>
        </w:rPr>
        <w:br/>
        <w:t>Background: Healthcare equity, defined as the absence of unfair and avoidable disparities in health, remains a fundamental yet challenging goal for health systems worldwide. Disparities in access, quality, and outcomes of care are particularly pronounced among vulnerable populations, including women and children.</w:t>
      </w:r>
      <w:r w:rsidRPr="004616BE">
        <w:rPr>
          <w:b/>
          <w:bCs/>
        </w:rPr>
        <w:br/>
        <w:t>Objective: This narrative review aims to identify the specific challenges to achieving healthcare equity from the distinct viewpoints of nursing, pediatric medicine, and gynecology, and to propose practical, interdisciplinary solutions.</w:t>
      </w:r>
      <w:r w:rsidRPr="004616BE">
        <w:rPr>
          <w:b/>
          <w:bCs/>
        </w:rPr>
        <w:br/>
        <w:t>Methods: A comprehensive literature review was conducted using databases such as PubMed, Scopus, and Google Scholar, focusing on publications from 2000 to 2024. Keywords included "health equity," "social determinants of health," "nursing care disparities," "pediatric health disparities," and "maternal health equity."</w:t>
      </w:r>
      <w:r w:rsidRPr="004616BE">
        <w:rPr>
          <w:b/>
          <w:bCs/>
        </w:rPr>
        <w:br/>
        <w:t>Findings: Key barriers were identified in three domains: 1) Nursing: Inequitable distribution of the workforce and unconscious bias; 2) Pediatrics: Disparities in vaccination, nutrition, and specialist access; 3) Gynecology: Inequitable access to prenatal care and the impact of sociocultural barriers. Proposed solutions include task-shifting, community health worker programs, telemedicine, and policy-level interventions aimed at the social determinants of health.</w:t>
      </w:r>
      <w:r w:rsidRPr="004616BE">
        <w:rPr>
          <w:b/>
          <w:bCs/>
        </w:rPr>
        <w:br/>
        <w:t>Conclusion: Achieving equity in treatment requires a multifaceted and collaborative approach. Integrating the perspectives of frontline providers—nurses, pediatricians, and gynecologists—is crucial for designing and implementing effective strategies that ensure just and fair healthcare for all.</w:t>
      </w:r>
    </w:p>
    <w:p w:rsidR="004616BE" w:rsidRPr="004616BE" w:rsidRDefault="004616BE" w:rsidP="004616BE">
      <w:pPr>
        <w:rPr>
          <w:b/>
          <w:bCs/>
        </w:rPr>
      </w:pPr>
      <w:r w:rsidRPr="004616BE">
        <w:rPr>
          <w:b/>
          <w:bCs/>
        </w:rPr>
        <w:t>Keywords: Healthcare Equity; Social Determinants of Health; Health Disparities; Nursing; Pediatrics; Gynecology; Review.</w:t>
      </w:r>
    </w:p>
    <w:p w:rsidR="004616BE" w:rsidRPr="004616BE" w:rsidRDefault="00DC1765" w:rsidP="004616BE">
      <w:pPr>
        <w:rPr>
          <w:b/>
          <w:bCs/>
        </w:rPr>
      </w:pPr>
      <w:bookmarkStart w:id="0" w:name="_GoBack"/>
      <w:r>
        <w:rPr>
          <w:b/>
          <w:bCs/>
        </w:rPr>
        <w:pict>
          <v:rect id="_x0000_i1026" style="width:0;height:1.5pt" o:hralign="center" o:hrstd="t" o:hr="t" fillcolor="#a0a0a0" stroked="f"/>
        </w:pict>
      </w:r>
      <w:bookmarkEnd w:id="0"/>
    </w:p>
    <w:p w:rsidR="004616BE" w:rsidRPr="004616BE" w:rsidRDefault="004616BE" w:rsidP="004616BE">
      <w:pPr>
        <w:rPr>
          <w:b/>
          <w:bCs/>
        </w:rPr>
      </w:pPr>
      <w:r w:rsidRPr="004616BE">
        <w:rPr>
          <w:b/>
          <w:bCs/>
        </w:rPr>
        <w:lastRenderedPageBreak/>
        <w:t>Main Article</w:t>
      </w:r>
    </w:p>
    <w:p w:rsidR="004616BE" w:rsidRPr="004616BE" w:rsidRDefault="004616BE" w:rsidP="004616BE">
      <w:pPr>
        <w:rPr>
          <w:b/>
          <w:bCs/>
        </w:rPr>
      </w:pPr>
      <w:r w:rsidRPr="004616BE">
        <w:rPr>
          <w:b/>
          <w:bCs/>
        </w:rPr>
        <w:t>1. Introduction</w:t>
      </w:r>
    </w:p>
    <w:p w:rsidR="004616BE" w:rsidRPr="004616BE" w:rsidRDefault="004616BE" w:rsidP="004616BE">
      <w:pPr>
        <w:rPr>
          <w:b/>
          <w:bCs/>
        </w:rPr>
      </w:pPr>
      <w:r w:rsidRPr="004616BE">
        <w:rPr>
          <w:b/>
          <w:bCs/>
        </w:rPr>
        <w:t>The concept of health equity is central to modern medical ethics and effective health system design. The World Health Organization defines it as the absence of unfair and avoidable differences in health status or in the distribution of health resources between different population groups [1]. Simply put, it means that everyone should have a fair opportunity to attain their full health potential, irrespective of their social, economic, demographic, or geographical position.</w:t>
      </w:r>
    </w:p>
    <w:p w:rsidR="004616BE" w:rsidRPr="004616BE" w:rsidRDefault="004616BE" w:rsidP="004616BE">
      <w:pPr>
        <w:rPr>
          <w:b/>
          <w:bCs/>
        </w:rPr>
      </w:pPr>
      <w:r w:rsidRPr="004616BE">
        <w:rPr>
          <w:b/>
          <w:bCs/>
        </w:rPr>
        <w:t>Despite global advancements, significant disparities in healthcare access, quality, and outcomes persist. These inequities disproportionately affect vulnerable groups, with women and children often bearing the heaviest burden [2]. The path to equitable care is complex and requires a concerted effort from all healthcare disciplines. This article synthesizes the challenges and solutions from three critical and interconnected fields: Nursing, which forms the backbone of patient-centered care; Pediatrics, which sets the foundation for a healthy life; and Gynecology, which is pivotal to the health of families and communities. By examining equity through these three lenses, we aim to provide a holistic framework for actionable change.</w:t>
      </w:r>
    </w:p>
    <w:p w:rsidR="004616BE" w:rsidRPr="004616BE" w:rsidRDefault="004616BE" w:rsidP="004616BE">
      <w:pPr>
        <w:rPr>
          <w:b/>
          <w:bCs/>
        </w:rPr>
      </w:pPr>
      <w:r w:rsidRPr="004616BE">
        <w:rPr>
          <w:b/>
          <w:bCs/>
        </w:rPr>
        <w:t>2. The Nursing Perspective: Equity at the Point of Care</w:t>
      </w:r>
    </w:p>
    <w:p w:rsidR="004616BE" w:rsidRPr="004616BE" w:rsidRDefault="004616BE" w:rsidP="004616BE">
      <w:pPr>
        <w:rPr>
          <w:b/>
          <w:bCs/>
        </w:rPr>
      </w:pPr>
      <w:r w:rsidRPr="004616BE">
        <w:rPr>
          <w:b/>
          <w:bCs/>
        </w:rPr>
        <w:t>Nurses, as the largest cohort of health professionals, are on the frontline of patient interaction and are pivotal in translating policy into equitable practice.</w:t>
      </w:r>
    </w:p>
    <w:p w:rsidR="004616BE" w:rsidRPr="004616BE" w:rsidRDefault="004616BE" w:rsidP="004616BE">
      <w:pPr>
        <w:rPr>
          <w:b/>
          <w:bCs/>
        </w:rPr>
      </w:pPr>
      <w:r w:rsidRPr="004616BE">
        <w:rPr>
          <w:b/>
          <w:bCs/>
        </w:rPr>
        <w:t>2.1. Challenges</w:t>
      </w:r>
    </w:p>
    <w:p w:rsidR="004616BE" w:rsidRPr="004616BE" w:rsidRDefault="004616BE" w:rsidP="004616BE">
      <w:pPr>
        <w:numPr>
          <w:ilvl w:val="0"/>
          <w:numId w:val="15"/>
        </w:numPr>
        <w:rPr>
          <w:b/>
          <w:bCs/>
        </w:rPr>
      </w:pPr>
      <w:r w:rsidRPr="004616BE">
        <w:rPr>
          <w:b/>
          <w:bCs/>
        </w:rPr>
        <w:t xml:space="preserve">Inequitable Workforce Distribution: There is a chronic </w:t>
      </w:r>
      <w:proofErr w:type="spellStart"/>
      <w:r w:rsidRPr="004616BE">
        <w:rPr>
          <w:b/>
          <w:bCs/>
        </w:rPr>
        <w:t>maldistribution</w:t>
      </w:r>
      <w:proofErr w:type="spellEnd"/>
      <w:r w:rsidRPr="004616BE">
        <w:rPr>
          <w:b/>
          <w:bCs/>
        </w:rPr>
        <w:t xml:space="preserve"> of nursing staff, with a concentration in urban and tertiary centers, leaving rural and underserved areas with critical shortages [3]. In Iran, the nurse-to-patient ratio demonstrates significant disparities, with Tehran province at 1.5 nurses per 1000 population compared to only 0.8 per 1000 in </w:t>
      </w:r>
      <w:proofErr w:type="spellStart"/>
      <w:r w:rsidRPr="004616BE">
        <w:rPr>
          <w:b/>
          <w:bCs/>
        </w:rPr>
        <w:t>Sistan</w:t>
      </w:r>
      <w:proofErr w:type="spellEnd"/>
      <w:r w:rsidRPr="004616BE">
        <w:rPr>
          <w:b/>
          <w:bCs/>
        </w:rPr>
        <w:t xml:space="preserve"> and </w:t>
      </w:r>
      <w:proofErr w:type="spellStart"/>
      <w:r w:rsidRPr="004616BE">
        <w:rPr>
          <w:b/>
          <w:bCs/>
        </w:rPr>
        <w:t>Baluchestan</w:t>
      </w:r>
      <w:proofErr w:type="spellEnd"/>
      <w:r w:rsidRPr="004616BE">
        <w:rPr>
          <w:b/>
          <w:bCs/>
        </w:rPr>
        <w:t xml:space="preserve"> province [11]. This directly limits access to basic and specialized care for marginalized populations.</w:t>
      </w:r>
    </w:p>
    <w:p w:rsidR="004616BE" w:rsidRPr="004616BE" w:rsidRDefault="004616BE" w:rsidP="004616BE">
      <w:pPr>
        <w:numPr>
          <w:ilvl w:val="0"/>
          <w:numId w:val="15"/>
        </w:numPr>
        <w:rPr>
          <w:b/>
          <w:bCs/>
        </w:rPr>
      </w:pPr>
      <w:r w:rsidRPr="004616BE">
        <w:rPr>
          <w:b/>
          <w:bCs/>
        </w:rPr>
        <w:t>High Workload and Moral Distress: Excessive patient-to-nurse ratios lead to burnout, reducing the time and emotional capacity for individualized, compassionate care. A study across Iranian public hospitals found nurses routinely manage 8-12 patients per shift, exceeding international standards and compromising patient safety [12]. This can result in task-oriented practice where the nuanced needs of vulnerable patients are overlooked [4].</w:t>
      </w:r>
    </w:p>
    <w:p w:rsidR="004616BE" w:rsidRPr="004616BE" w:rsidRDefault="004616BE" w:rsidP="004616BE">
      <w:pPr>
        <w:numPr>
          <w:ilvl w:val="0"/>
          <w:numId w:val="15"/>
        </w:numPr>
        <w:rPr>
          <w:b/>
          <w:bCs/>
        </w:rPr>
      </w:pPr>
      <w:r w:rsidRPr="004616BE">
        <w:rPr>
          <w:b/>
          <w:bCs/>
        </w:rPr>
        <w:t>Unconscious Bias: Implicit biases based on a patient's race, ethnicity, socioeconomic status, or educational background can unconsciously affect clinical judgment, communication, and the quality of care provided [5]. For instance, pain management may be suboptimal for patients from minority groups. Research in Iranian healthcare settings indicates that patients from marginalized ethnic groups receive less detailed explanations about their treatment plans compared to other patients [13].</w:t>
      </w:r>
    </w:p>
    <w:p w:rsidR="004616BE" w:rsidRPr="004616BE" w:rsidRDefault="004616BE" w:rsidP="004616BE">
      <w:pPr>
        <w:rPr>
          <w:b/>
          <w:bCs/>
        </w:rPr>
      </w:pPr>
      <w:r w:rsidRPr="004616BE">
        <w:rPr>
          <w:b/>
          <w:bCs/>
        </w:rPr>
        <w:t>2.2. Proposed Solutions</w:t>
      </w:r>
    </w:p>
    <w:p w:rsidR="004616BE" w:rsidRPr="004616BE" w:rsidRDefault="004616BE" w:rsidP="004616BE">
      <w:pPr>
        <w:numPr>
          <w:ilvl w:val="0"/>
          <w:numId w:val="16"/>
        </w:numPr>
        <w:rPr>
          <w:b/>
          <w:bCs/>
        </w:rPr>
      </w:pPr>
      <w:r w:rsidRPr="004616BE">
        <w:rPr>
          <w:b/>
          <w:bCs/>
        </w:rPr>
        <w:lastRenderedPageBreak/>
        <w:t>Standardized Triage and Protocols: Implementing and adhering to evidence-based triage systems and clinical pathways can minimize subjective judgment and ensure consistent care for all patients, regardless of their background.</w:t>
      </w:r>
    </w:p>
    <w:p w:rsidR="004616BE" w:rsidRPr="004616BE" w:rsidRDefault="004616BE" w:rsidP="004616BE">
      <w:pPr>
        <w:numPr>
          <w:ilvl w:val="0"/>
          <w:numId w:val="16"/>
        </w:numPr>
        <w:rPr>
          <w:b/>
          <w:bCs/>
        </w:rPr>
      </w:pPr>
      <w:r w:rsidRPr="004616BE">
        <w:rPr>
          <w:b/>
          <w:bCs/>
        </w:rPr>
        <w:t>Cultural Competency and Communication Training: Integrating mandatory training on cultural humility and effective communication can empower nurses to build trust and provide more personalized, unbiased care [5]. A pilot program in Kerman province demonstrated that cultural competence training reduced patient complaints by 30% in participating hospitals [14].</w:t>
      </w:r>
    </w:p>
    <w:p w:rsidR="004616BE" w:rsidRPr="004616BE" w:rsidRDefault="004616BE" w:rsidP="004616BE">
      <w:pPr>
        <w:numPr>
          <w:ilvl w:val="0"/>
          <w:numId w:val="16"/>
        </w:numPr>
        <w:rPr>
          <w:b/>
          <w:bCs/>
        </w:rPr>
      </w:pPr>
      <w:r w:rsidRPr="004616BE">
        <w:rPr>
          <w:b/>
          <w:bCs/>
        </w:rPr>
        <w:t>Task-Shifting and Community Nursing: Empowering and deploying community health nurses and expanding the roles of nurse practitioners can dramatically improve access to primary and preventive care in resource-poor settings [3]. The "</w:t>
      </w:r>
      <w:proofErr w:type="spellStart"/>
      <w:r w:rsidRPr="004616BE">
        <w:rPr>
          <w:b/>
          <w:bCs/>
        </w:rPr>
        <w:t>Behvarz</w:t>
      </w:r>
      <w:proofErr w:type="spellEnd"/>
      <w:r w:rsidRPr="004616BE">
        <w:rPr>
          <w:b/>
          <w:bCs/>
        </w:rPr>
        <w:t>" system in rural Iran has shown success in extending basic healthcare services to remote areas, though challenges remain in integrating them with formal nursing services [15].</w:t>
      </w:r>
    </w:p>
    <w:p w:rsidR="004616BE" w:rsidRPr="004616BE" w:rsidRDefault="004616BE" w:rsidP="004616BE">
      <w:pPr>
        <w:rPr>
          <w:b/>
          <w:bCs/>
        </w:rPr>
      </w:pPr>
      <w:r w:rsidRPr="004616BE">
        <w:rPr>
          <w:b/>
          <w:bCs/>
        </w:rPr>
        <w:t>3. The Pediatric Perspective: Building an Equitable Foundation from Birth</w:t>
      </w:r>
    </w:p>
    <w:p w:rsidR="004616BE" w:rsidRPr="004616BE" w:rsidRDefault="004616BE" w:rsidP="004616BE">
      <w:pPr>
        <w:rPr>
          <w:b/>
          <w:bCs/>
        </w:rPr>
      </w:pPr>
      <w:r w:rsidRPr="004616BE">
        <w:rPr>
          <w:b/>
          <w:bCs/>
        </w:rPr>
        <w:t>A child's access to equitable healthcare determines their lifelong physical, cognitive, and emotional trajectory.</w:t>
      </w:r>
    </w:p>
    <w:p w:rsidR="004616BE" w:rsidRPr="004616BE" w:rsidRDefault="004616BE" w:rsidP="004616BE">
      <w:pPr>
        <w:rPr>
          <w:b/>
          <w:bCs/>
        </w:rPr>
      </w:pPr>
      <w:r w:rsidRPr="004616BE">
        <w:rPr>
          <w:b/>
          <w:bCs/>
        </w:rPr>
        <w:t>3.1. Challenges</w:t>
      </w:r>
    </w:p>
    <w:p w:rsidR="004616BE" w:rsidRPr="004616BE" w:rsidRDefault="004616BE" w:rsidP="004616BE">
      <w:pPr>
        <w:numPr>
          <w:ilvl w:val="0"/>
          <w:numId w:val="17"/>
        </w:numPr>
        <w:rPr>
          <w:b/>
          <w:bCs/>
        </w:rPr>
      </w:pPr>
      <w:r w:rsidRPr="004616BE">
        <w:rPr>
          <w:b/>
          <w:bCs/>
        </w:rPr>
        <w:t xml:space="preserve">Disparities in Preventive Care: Children from low-income families and minority backgrounds have lower rates of vaccination and participation in essential screening programs for developmental disorders, leading to preventable diseases and delayed interventions [6]. Despite national vaccination coverage exceeding 95% in Iran, provinces like </w:t>
      </w:r>
      <w:proofErr w:type="spellStart"/>
      <w:r w:rsidRPr="004616BE">
        <w:rPr>
          <w:b/>
          <w:bCs/>
        </w:rPr>
        <w:t>Sistan</w:t>
      </w:r>
      <w:proofErr w:type="spellEnd"/>
      <w:r w:rsidRPr="004616BE">
        <w:rPr>
          <w:b/>
          <w:bCs/>
        </w:rPr>
        <w:t xml:space="preserve"> and </w:t>
      </w:r>
      <w:proofErr w:type="spellStart"/>
      <w:r w:rsidRPr="004616BE">
        <w:rPr>
          <w:b/>
          <w:bCs/>
        </w:rPr>
        <w:t>Baluchestan</w:t>
      </w:r>
      <w:proofErr w:type="spellEnd"/>
      <w:r w:rsidRPr="004616BE">
        <w:rPr>
          <w:b/>
          <w:bCs/>
        </w:rPr>
        <w:t xml:space="preserve"> and Kurdistan report coverage below 85% for routine childhood immunizations [16].</w:t>
      </w:r>
    </w:p>
    <w:p w:rsidR="004616BE" w:rsidRPr="004616BE" w:rsidRDefault="004616BE" w:rsidP="004616BE">
      <w:pPr>
        <w:numPr>
          <w:ilvl w:val="0"/>
          <w:numId w:val="17"/>
        </w:numPr>
        <w:rPr>
          <w:b/>
          <w:bCs/>
        </w:rPr>
      </w:pPr>
      <w:r w:rsidRPr="004616BE">
        <w:rPr>
          <w:b/>
          <w:bCs/>
        </w:rPr>
        <w:t>Childhood Malnutrition: Food insecurity and poverty directly cause malnutrition, which impairs growth, immune function, and neurodevelopment, perpetuating a cycle of ill health and poor educational outcomes [7]. National nutrition surveys reveal stunting rates among children under 5 exceed 15% in rural southeastern Iran compared to less than 8% in northern urban centers [17].</w:t>
      </w:r>
    </w:p>
    <w:p w:rsidR="004616BE" w:rsidRPr="004616BE" w:rsidRDefault="004616BE" w:rsidP="004616BE">
      <w:pPr>
        <w:numPr>
          <w:ilvl w:val="0"/>
          <w:numId w:val="17"/>
        </w:numPr>
        <w:rPr>
          <w:b/>
          <w:bCs/>
        </w:rPr>
      </w:pPr>
      <w:r w:rsidRPr="004616BE">
        <w:rPr>
          <w:b/>
          <w:bCs/>
        </w:rPr>
        <w:t>Geographical Barriers to Specialists: The concentration of pediatric subspecialists (e.g., pediatric cardiologists, neurologists) in academic urban centers creates significant barriers for children in rural areas, leading to delayed diagnoses and treatment. Over 80% of pediatric subspecialists in Iran practice in Tehran and other major metropolitan areas, creating significant access barriers for rural populations [18].</w:t>
      </w:r>
    </w:p>
    <w:p w:rsidR="004616BE" w:rsidRPr="004616BE" w:rsidRDefault="004616BE" w:rsidP="004616BE">
      <w:pPr>
        <w:rPr>
          <w:b/>
          <w:bCs/>
        </w:rPr>
      </w:pPr>
      <w:r w:rsidRPr="004616BE">
        <w:rPr>
          <w:b/>
          <w:bCs/>
        </w:rPr>
        <w:t>3.2. Proposed Solutions</w:t>
      </w:r>
    </w:p>
    <w:p w:rsidR="004616BE" w:rsidRPr="004616BE" w:rsidRDefault="004616BE" w:rsidP="004616BE">
      <w:pPr>
        <w:numPr>
          <w:ilvl w:val="0"/>
          <w:numId w:val="18"/>
        </w:numPr>
        <w:rPr>
          <w:b/>
          <w:bCs/>
        </w:rPr>
      </w:pPr>
      <w:r w:rsidRPr="004616BE">
        <w:rPr>
          <w:b/>
          <w:bCs/>
        </w:rPr>
        <w:t>Strengthening School-Based and Community Health Programs: Utilizing schools as hubs for vaccination, health education, and basic screenings can effectively reach children who might otherwise fall through the cracks of the healthcare system. The school health program in Fars province successfully increased vaccination coverage by 15% through school-based immunization sessions [19].</w:t>
      </w:r>
    </w:p>
    <w:p w:rsidR="004616BE" w:rsidRPr="004616BE" w:rsidRDefault="004616BE" w:rsidP="004616BE">
      <w:pPr>
        <w:numPr>
          <w:ilvl w:val="0"/>
          <w:numId w:val="18"/>
        </w:numPr>
        <w:rPr>
          <w:b/>
          <w:bCs/>
        </w:rPr>
      </w:pPr>
      <w:r w:rsidRPr="004616BE">
        <w:rPr>
          <w:b/>
          <w:bCs/>
        </w:rPr>
        <w:lastRenderedPageBreak/>
        <w:t>Integrated Nutritional Support Programs: Linking pediatric care with government or non-governmental nutritional support programs can address the root cause of many childhood health problems. The national supplementation program for iron and vitamins in schools has reduced anemia prevalence from 25% to 15% in participating regions [20].</w:t>
      </w:r>
    </w:p>
    <w:p w:rsidR="004616BE" w:rsidRPr="004616BE" w:rsidRDefault="004616BE" w:rsidP="004616BE">
      <w:pPr>
        <w:numPr>
          <w:ilvl w:val="0"/>
          <w:numId w:val="18"/>
        </w:numPr>
        <w:rPr>
          <w:b/>
          <w:bCs/>
        </w:rPr>
      </w:pPr>
      <w:r w:rsidRPr="004616BE">
        <w:rPr>
          <w:b/>
          <w:bCs/>
        </w:rPr>
        <w:t>Expansion of Pediatric Telemedicine: Telehealth consultations can bridge the geographical gap, allowing general practitioners in remote areas to receive guidance from pediatric specialists, ensuring timely and expert input [8]. A telemedicine initiative in Khorasan province connected rural health centers with pediatric specialists in Mashhad, reducing unnecessary referrals by 40% [21].</w:t>
      </w:r>
    </w:p>
    <w:p w:rsidR="004616BE" w:rsidRPr="004616BE" w:rsidRDefault="004616BE" w:rsidP="004616BE">
      <w:pPr>
        <w:rPr>
          <w:b/>
          <w:bCs/>
        </w:rPr>
      </w:pPr>
      <w:r w:rsidRPr="004616BE">
        <w:rPr>
          <w:b/>
          <w:bCs/>
        </w:rPr>
        <w:t>4. The Gynecological Perspective: Equity in Reproductive and Maternal Health</w:t>
      </w:r>
    </w:p>
    <w:p w:rsidR="004616BE" w:rsidRPr="004616BE" w:rsidRDefault="004616BE" w:rsidP="004616BE">
      <w:pPr>
        <w:rPr>
          <w:b/>
          <w:bCs/>
        </w:rPr>
      </w:pPr>
      <w:r w:rsidRPr="004616BE">
        <w:rPr>
          <w:b/>
          <w:bCs/>
        </w:rPr>
        <w:t>Gender is a profound social determinant of health. Equitable gynecological and obstetric care is a cornerstone of societal health.</w:t>
      </w:r>
    </w:p>
    <w:p w:rsidR="004616BE" w:rsidRPr="004616BE" w:rsidRDefault="004616BE" w:rsidP="004616BE">
      <w:pPr>
        <w:rPr>
          <w:b/>
          <w:bCs/>
        </w:rPr>
      </w:pPr>
      <w:r w:rsidRPr="004616BE">
        <w:rPr>
          <w:b/>
          <w:bCs/>
        </w:rPr>
        <w:t>4.1. Challenges</w:t>
      </w:r>
    </w:p>
    <w:p w:rsidR="004616BE" w:rsidRPr="004616BE" w:rsidRDefault="004616BE" w:rsidP="004616BE">
      <w:pPr>
        <w:numPr>
          <w:ilvl w:val="0"/>
          <w:numId w:val="19"/>
        </w:numPr>
        <w:rPr>
          <w:b/>
          <w:bCs/>
        </w:rPr>
      </w:pPr>
      <w:r w:rsidRPr="004616BE">
        <w:rPr>
          <w:b/>
          <w:bCs/>
        </w:rPr>
        <w:t xml:space="preserve">Inequitable Access to Prenatal and Perinatal Care: Disparities in access to quality prenatal care are a major driver of high maternal and infant mortality rates in underserved populations, both in developing and developed countries [9]. Maternal mortality ratios in rural Iran remain 1.8 times higher than urban areas, with provinces like </w:t>
      </w:r>
      <w:proofErr w:type="spellStart"/>
      <w:r w:rsidRPr="004616BE">
        <w:rPr>
          <w:b/>
          <w:bCs/>
        </w:rPr>
        <w:t>Hormozgan</w:t>
      </w:r>
      <w:proofErr w:type="spellEnd"/>
      <w:r w:rsidRPr="004616BE">
        <w:rPr>
          <w:b/>
          <w:bCs/>
        </w:rPr>
        <w:t xml:space="preserve"> and </w:t>
      </w:r>
      <w:proofErr w:type="spellStart"/>
      <w:r w:rsidRPr="004616BE">
        <w:rPr>
          <w:b/>
          <w:bCs/>
        </w:rPr>
        <w:t>Sistan</w:t>
      </w:r>
      <w:proofErr w:type="spellEnd"/>
      <w:r w:rsidRPr="004616BE">
        <w:rPr>
          <w:b/>
          <w:bCs/>
        </w:rPr>
        <w:t xml:space="preserve"> and </w:t>
      </w:r>
      <w:proofErr w:type="spellStart"/>
      <w:r w:rsidRPr="004616BE">
        <w:rPr>
          <w:b/>
          <w:bCs/>
        </w:rPr>
        <w:t>Baluchestan</w:t>
      </w:r>
      <w:proofErr w:type="spellEnd"/>
      <w:r w:rsidRPr="004616BE">
        <w:rPr>
          <w:b/>
          <w:bCs/>
        </w:rPr>
        <w:t xml:space="preserve"> reporting ratios 50% above the national average [22].</w:t>
      </w:r>
    </w:p>
    <w:p w:rsidR="004616BE" w:rsidRPr="004616BE" w:rsidRDefault="004616BE" w:rsidP="004616BE">
      <w:pPr>
        <w:numPr>
          <w:ilvl w:val="0"/>
          <w:numId w:val="19"/>
        </w:numPr>
        <w:rPr>
          <w:b/>
          <w:bCs/>
        </w:rPr>
      </w:pPr>
      <w:r w:rsidRPr="004616BE">
        <w:rPr>
          <w:b/>
          <w:bCs/>
        </w:rPr>
        <w:t>Sociocultural and Informational Barriers: Deep-seated cultural norms, stigma, and low health literacy can prevent women from seeking care for reproductive health issues, family planning, and cancers (e.g., cervical and breast cancer) [10]. Studies indicate approximately 40% of women in rural Iran lack adequate prenatal care due to transportation barriers, cultural restrictions, and shortage of female providers [23].</w:t>
      </w:r>
    </w:p>
    <w:p w:rsidR="004616BE" w:rsidRPr="004616BE" w:rsidRDefault="004616BE" w:rsidP="004616BE">
      <w:pPr>
        <w:numPr>
          <w:ilvl w:val="0"/>
          <w:numId w:val="19"/>
        </w:numPr>
        <w:rPr>
          <w:b/>
          <w:bCs/>
        </w:rPr>
      </w:pPr>
      <w:r w:rsidRPr="004616BE">
        <w:rPr>
          <w:b/>
          <w:bCs/>
        </w:rPr>
        <w:t>Gender-Based Violence (GBV): GBV is a severe public health issue and a manifestation of profound gender inequality. Survivors often face significant barriers to accessing medical, psychological, and legal support. National surveys suggest that nearly 25% of Iranian women experience intimate partner violence, yet less than 30% seek medical care or support services [24].</w:t>
      </w:r>
    </w:p>
    <w:p w:rsidR="004616BE" w:rsidRPr="004616BE" w:rsidRDefault="004616BE" w:rsidP="004616BE">
      <w:pPr>
        <w:rPr>
          <w:b/>
          <w:bCs/>
        </w:rPr>
      </w:pPr>
      <w:r w:rsidRPr="004616BE">
        <w:rPr>
          <w:b/>
          <w:bCs/>
        </w:rPr>
        <w:t>4.2. Proposed Solutions</w:t>
      </w:r>
    </w:p>
    <w:p w:rsidR="004616BE" w:rsidRPr="004616BE" w:rsidRDefault="004616BE" w:rsidP="004616BE">
      <w:pPr>
        <w:numPr>
          <w:ilvl w:val="0"/>
          <w:numId w:val="20"/>
        </w:numPr>
        <w:rPr>
          <w:b/>
          <w:bCs/>
        </w:rPr>
      </w:pPr>
      <w:r w:rsidRPr="004616BE">
        <w:rPr>
          <w:b/>
          <w:bCs/>
        </w:rPr>
        <w:t xml:space="preserve">Mobile Health Clinics and Outreach Programs: Deploying mobile clinics that provide prenatal check-ups, Pap smears, and health education can directly bring services to isolated communities. Mobile mammography units in </w:t>
      </w:r>
      <w:proofErr w:type="spellStart"/>
      <w:r w:rsidRPr="004616BE">
        <w:rPr>
          <w:b/>
          <w:bCs/>
        </w:rPr>
        <w:t>Gilan</w:t>
      </w:r>
      <w:proofErr w:type="spellEnd"/>
      <w:r w:rsidRPr="004616BE">
        <w:rPr>
          <w:b/>
          <w:bCs/>
        </w:rPr>
        <w:t xml:space="preserve"> province increased breast cancer screening rates by 45% in rural areas over two years [25].</w:t>
      </w:r>
    </w:p>
    <w:p w:rsidR="004616BE" w:rsidRPr="004616BE" w:rsidRDefault="004616BE" w:rsidP="004616BE">
      <w:pPr>
        <w:numPr>
          <w:ilvl w:val="0"/>
          <w:numId w:val="20"/>
        </w:numPr>
        <w:rPr>
          <w:b/>
          <w:bCs/>
        </w:rPr>
      </w:pPr>
      <w:r w:rsidRPr="004616BE">
        <w:rPr>
          <w:b/>
          <w:bCs/>
        </w:rPr>
        <w:t>Training and Utilizing Community Health Workers (CHWs): Female CHWs from within local communities can act as culturally sensitive educators, advocates, and liaisons between women and the formal health system [10]. The "Mothers' Health Volunteers" program in West Azerbaijan improved prenatal care attendance by 35% in participating villages [26].</w:t>
      </w:r>
    </w:p>
    <w:p w:rsidR="004616BE" w:rsidRPr="004616BE" w:rsidRDefault="004616BE" w:rsidP="004616BE">
      <w:pPr>
        <w:numPr>
          <w:ilvl w:val="0"/>
          <w:numId w:val="20"/>
        </w:numPr>
        <w:rPr>
          <w:b/>
          <w:bCs/>
        </w:rPr>
      </w:pPr>
      <w:r w:rsidRPr="004616BE">
        <w:rPr>
          <w:b/>
          <w:bCs/>
        </w:rPr>
        <w:lastRenderedPageBreak/>
        <w:t>Integrating GBV Screening and Support Services: Routine, universal screening for intimate partner violence in gynecological and prenatal settings, coupled with clear referral pathways to support services, is an ethical and practical necessity. A pilot program in Tehran hospitals implementing routine GBV screening identified 18% more cases and successfully referred 65% of survivors to support services [27].</w:t>
      </w:r>
    </w:p>
    <w:p w:rsidR="004616BE" w:rsidRPr="004616BE" w:rsidRDefault="004616BE" w:rsidP="004616BE">
      <w:pPr>
        <w:rPr>
          <w:b/>
          <w:bCs/>
        </w:rPr>
      </w:pPr>
      <w:r w:rsidRPr="004616BE">
        <w:rPr>
          <w:b/>
          <w:bCs/>
        </w:rPr>
        <w:t>5. Discussion and Conclusion</w:t>
      </w:r>
    </w:p>
    <w:p w:rsidR="004616BE" w:rsidRPr="004616BE" w:rsidRDefault="004616BE" w:rsidP="004616BE">
      <w:pPr>
        <w:rPr>
          <w:b/>
          <w:bCs/>
        </w:rPr>
      </w:pPr>
      <w:r w:rsidRPr="004616BE">
        <w:rPr>
          <w:b/>
          <w:bCs/>
        </w:rPr>
        <w:t>The pursuit of equity in healthcare is not merely a technical challenge but a moral imperative. As this review illustrates, the barriers are multifaceted, spanning workforce distribution, socioeconomic determinants, and deep-rooted cultural biases. The perspectives of nursing, pediatrics, and gynecology reveal both unique and overlapping challenges, underscoring the need for integrated solutions.</w:t>
      </w:r>
    </w:p>
    <w:p w:rsidR="004616BE" w:rsidRPr="004616BE" w:rsidRDefault="004616BE" w:rsidP="004616BE">
      <w:pPr>
        <w:rPr>
          <w:b/>
          <w:bCs/>
        </w:rPr>
      </w:pPr>
      <w:r w:rsidRPr="004616BE">
        <w:rPr>
          <w:b/>
          <w:bCs/>
        </w:rPr>
        <w:t xml:space="preserve">The Iranian context provides valuable insights into both the challenges and potential solutions for achieving healthcare equity. The significant disparities in nursing distribution, childhood vaccination coverage, and maternal health outcomes across different provinces highlight the urgent need for targeted interventions. However, successful programs such as the </w:t>
      </w:r>
      <w:proofErr w:type="spellStart"/>
      <w:r w:rsidRPr="004616BE">
        <w:rPr>
          <w:b/>
          <w:bCs/>
        </w:rPr>
        <w:t>Behvarz</w:t>
      </w:r>
      <w:proofErr w:type="spellEnd"/>
      <w:r w:rsidRPr="004616BE">
        <w:rPr>
          <w:b/>
          <w:bCs/>
        </w:rPr>
        <w:t xml:space="preserve"> system, school-based health initiatives, and mobile health clinics demonstrate that practical solutions can effectively address these disparities when properly implemented and scaled.</w:t>
      </w:r>
    </w:p>
    <w:p w:rsidR="004616BE" w:rsidRPr="004616BE" w:rsidRDefault="004616BE" w:rsidP="004616BE">
      <w:pPr>
        <w:rPr>
          <w:b/>
          <w:bCs/>
        </w:rPr>
      </w:pPr>
      <w:r w:rsidRPr="004616BE">
        <w:rPr>
          <w:b/>
          <w:bCs/>
        </w:rPr>
        <w:t>No single intervention will suffice. A synergistic approach is required:</w:t>
      </w:r>
    </w:p>
    <w:p w:rsidR="004616BE" w:rsidRPr="004616BE" w:rsidRDefault="004616BE" w:rsidP="004616BE">
      <w:pPr>
        <w:numPr>
          <w:ilvl w:val="0"/>
          <w:numId w:val="21"/>
        </w:numPr>
        <w:rPr>
          <w:b/>
          <w:bCs/>
        </w:rPr>
      </w:pPr>
      <w:r w:rsidRPr="004616BE">
        <w:rPr>
          <w:b/>
          <w:bCs/>
        </w:rPr>
        <w:t>At the Micro-level: Individual providers must practice cultural humility, employ standardized tools to minimize bias, and advocate for their patients.</w:t>
      </w:r>
    </w:p>
    <w:p w:rsidR="004616BE" w:rsidRPr="004616BE" w:rsidRDefault="004616BE" w:rsidP="004616BE">
      <w:pPr>
        <w:numPr>
          <w:ilvl w:val="0"/>
          <w:numId w:val="21"/>
        </w:numPr>
        <w:rPr>
          <w:b/>
          <w:bCs/>
        </w:rPr>
      </w:pPr>
      <w:r w:rsidRPr="004616BE">
        <w:rPr>
          <w:b/>
          <w:bCs/>
        </w:rPr>
        <w:t xml:space="preserve">At the </w:t>
      </w:r>
      <w:proofErr w:type="spellStart"/>
      <w:r w:rsidRPr="004616BE">
        <w:rPr>
          <w:b/>
          <w:bCs/>
        </w:rPr>
        <w:t>Meso</w:t>
      </w:r>
      <w:proofErr w:type="spellEnd"/>
      <w:r w:rsidRPr="004616BE">
        <w:rPr>
          <w:b/>
          <w:bCs/>
        </w:rPr>
        <w:t>-level: Healthcare institutions must invest in training, support frontline workers, develop community partnerships, and leverage technology like telemedicine to extend their reach.</w:t>
      </w:r>
    </w:p>
    <w:p w:rsidR="004616BE" w:rsidRPr="004616BE" w:rsidRDefault="004616BE" w:rsidP="004616BE">
      <w:pPr>
        <w:numPr>
          <w:ilvl w:val="0"/>
          <w:numId w:val="21"/>
        </w:numPr>
        <w:rPr>
          <w:b/>
          <w:bCs/>
        </w:rPr>
      </w:pPr>
      <w:r w:rsidRPr="004616BE">
        <w:rPr>
          <w:b/>
          <w:bCs/>
        </w:rPr>
        <w:t>At the Macro-level: Policymakers must address the fundamental social determinants of health—such as poverty, education, and gender inequality—and create financing models that incentivize equitable care.</w:t>
      </w:r>
    </w:p>
    <w:p w:rsidR="004616BE" w:rsidRPr="004616BE" w:rsidRDefault="004616BE" w:rsidP="004616BE">
      <w:pPr>
        <w:rPr>
          <w:b/>
          <w:bCs/>
        </w:rPr>
      </w:pPr>
      <w:r w:rsidRPr="004616BE">
        <w:rPr>
          <w:b/>
          <w:bCs/>
        </w:rPr>
        <w:t xml:space="preserve">Implications for Future Research and Practice: Future studies should focus on evaluating the long-term effectiveness of community health worker programs in reducing maternal mortality in underserved Iranian provinces. Research is also needed to assess the scalability of telemedicine interventions for pediatric specialty care and to develop culturally adapted models for reproductive health education. Additionally, implementation research should explore sustainable strategies for addressing the </w:t>
      </w:r>
      <w:proofErr w:type="spellStart"/>
      <w:r w:rsidRPr="004616BE">
        <w:rPr>
          <w:b/>
          <w:bCs/>
        </w:rPr>
        <w:t>maldistribution</w:t>
      </w:r>
      <w:proofErr w:type="spellEnd"/>
      <w:r w:rsidRPr="004616BE">
        <w:rPr>
          <w:b/>
          <w:bCs/>
        </w:rPr>
        <w:t xml:space="preserve"> of healthcare workers across different regions of Iran.</w:t>
      </w:r>
    </w:p>
    <w:p w:rsidR="004616BE" w:rsidRPr="004616BE" w:rsidRDefault="004616BE" w:rsidP="004616BE">
      <w:pPr>
        <w:rPr>
          <w:b/>
          <w:bCs/>
        </w:rPr>
      </w:pPr>
      <w:r w:rsidRPr="004616BE">
        <w:rPr>
          <w:b/>
          <w:bCs/>
        </w:rPr>
        <w:t>In conclusion, the path toward justice in treatment is a continuous journey. Nurses, pediatricians, and gynecologists, working in concert, are not just witnesses to health disparities but are essential agents of change. By championing policies and practices that prioritize fairness, we can move closer to a world where a person's health is not predetermined by their birthplace, wealth, or gender.</w:t>
      </w:r>
    </w:p>
    <w:p w:rsidR="004616BE" w:rsidRPr="004616BE" w:rsidRDefault="00DC1765" w:rsidP="004616BE">
      <w:pPr>
        <w:rPr>
          <w:b/>
          <w:bCs/>
        </w:rPr>
      </w:pPr>
      <w:r>
        <w:rPr>
          <w:b/>
          <w:bCs/>
        </w:rPr>
        <w:pict>
          <v:rect id="_x0000_i1027" style="width:0;height:1.5pt" o:hralign="center" o:hrstd="t" o:hr="t" fillcolor="#a0a0a0" stroked="f"/>
        </w:pict>
      </w:r>
    </w:p>
    <w:p w:rsidR="004616BE" w:rsidRPr="004616BE" w:rsidRDefault="004616BE" w:rsidP="004616BE">
      <w:pPr>
        <w:rPr>
          <w:b/>
          <w:bCs/>
        </w:rPr>
      </w:pPr>
      <w:r w:rsidRPr="004616BE">
        <w:rPr>
          <w:b/>
          <w:bCs/>
        </w:rPr>
        <w:t>References</w:t>
      </w:r>
    </w:p>
    <w:p w:rsidR="004616BE" w:rsidRPr="004616BE" w:rsidRDefault="004616BE" w:rsidP="004616BE">
      <w:pPr>
        <w:numPr>
          <w:ilvl w:val="0"/>
          <w:numId w:val="22"/>
        </w:numPr>
        <w:rPr>
          <w:b/>
          <w:bCs/>
        </w:rPr>
      </w:pPr>
      <w:r w:rsidRPr="004616BE">
        <w:rPr>
          <w:b/>
          <w:bCs/>
        </w:rPr>
        <w:lastRenderedPageBreak/>
        <w:t xml:space="preserve">World Health Organization. Health equity. [WHO website]. Available from: </w:t>
      </w:r>
      <w:hyperlink r:id="rId8" w:tgtFrame="_blank" w:history="1">
        <w:r w:rsidRPr="004616BE">
          <w:rPr>
            <w:rStyle w:val="Hyperlink"/>
            <w:b/>
            <w:bCs/>
          </w:rPr>
          <w:t>https://www.who.int/health-topics/health-equity</w:t>
        </w:r>
      </w:hyperlink>
    </w:p>
    <w:p w:rsidR="004616BE" w:rsidRPr="004616BE" w:rsidRDefault="004616BE" w:rsidP="004616BE">
      <w:pPr>
        <w:numPr>
          <w:ilvl w:val="0"/>
          <w:numId w:val="22"/>
        </w:numPr>
        <w:rPr>
          <w:b/>
          <w:bCs/>
        </w:rPr>
      </w:pPr>
      <w:proofErr w:type="spellStart"/>
      <w:r w:rsidRPr="004616BE">
        <w:rPr>
          <w:b/>
          <w:bCs/>
        </w:rPr>
        <w:t>Braveman</w:t>
      </w:r>
      <w:proofErr w:type="spellEnd"/>
      <w:r w:rsidRPr="004616BE">
        <w:rPr>
          <w:b/>
          <w:bCs/>
        </w:rPr>
        <w:t xml:space="preserve"> P, Gottlieb L. The social determinants of health: it's time to consider the causes of the causes. Public Health Rep. 2014;129 </w:t>
      </w:r>
      <w:proofErr w:type="spellStart"/>
      <w:r w:rsidRPr="004616BE">
        <w:rPr>
          <w:b/>
          <w:bCs/>
        </w:rPr>
        <w:t>Suppl</w:t>
      </w:r>
      <w:proofErr w:type="spellEnd"/>
      <w:r w:rsidRPr="004616BE">
        <w:rPr>
          <w:b/>
          <w:bCs/>
        </w:rPr>
        <w:t xml:space="preserve"> 2(</w:t>
      </w:r>
      <w:proofErr w:type="spellStart"/>
      <w:r w:rsidRPr="004616BE">
        <w:rPr>
          <w:b/>
          <w:bCs/>
        </w:rPr>
        <w:t>Suppl</w:t>
      </w:r>
      <w:proofErr w:type="spellEnd"/>
      <w:r w:rsidRPr="004616BE">
        <w:rPr>
          <w:b/>
          <w:bCs/>
        </w:rPr>
        <w:t xml:space="preserve"> 2):19-31.</w:t>
      </w:r>
    </w:p>
    <w:p w:rsidR="004616BE" w:rsidRPr="004616BE" w:rsidRDefault="004616BE" w:rsidP="004616BE">
      <w:pPr>
        <w:numPr>
          <w:ilvl w:val="0"/>
          <w:numId w:val="22"/>
        </w:numPr>
        <w:rPr>
          <w:b/>
          <w:bCs/>
        </w:rPr>
      </w:pPr>
      <w:r w:rsidRPr="004616BE">
        <w:rPr>
          <w:b/>
          <w:bCs/>
        </w:rPr>
        <w:t xml:space="preserve">Buchan J, </w:t>
      </w:r>
      <w:proofErr w:type="spellStart"/>
      <w:r w:rsidRPr="004616BE">
        <w:rPr>
          <w:b/>
          <w:bCs/>
        </w:rPr>
        <w:t>Twigg</w:t>
      </w:r>
      <w:proofErr w:type="spellEnd"/>
      <w:r w:rsidRPr="004616BE">
        <w:rPr>
          <w:b/>
          <w:bCs/>
        </w:rPr>
        <w:t xml:space="preserve"> D, </w:t>
      </w:r>
      <w:proofErr w:type="spellStart"/>
      <w:r w:rsidRPr="004616BE">
        <w:rPr>
          <w:b/>
          <w:bCs/>
        </w:rPr>
        <w:t>Dussault</w:t>
      </w:r>
      <w:proofErr w:type="spellEnd"/>
      <w:r w:rsidRPr="004616BE">
        <w:rPr>
          <w:b/>
          <w:bCs/>
        </w:rPr>
        <w:t xml:space="preserve"> G, Duffield C, Stone PW. Policies to sustain the nursing workforce: an international perspective. </w:t>
      </w:r>
      <w:proofErr w:type="spellStart"/>
      <w:r w:rsidRPr="004616BE">
        <w:rPr>
          <w:b/>
          <w:bCs/>
        </w:rPr>
        <w:t>Int</w:t>
      </w:r>
      <w:proofErr w:type="spellEnd"/>
      <w:r w:rsidRPr="004616BE">
        <w:rPr>
          <w:b/>
          <w:bCs/>
        </w:rPr>
        <w:t xml:space="preserve"> </w:t>
      </w:r>
      <w:proofErr w:type="spellStart"/>
      <w:r w:rsidRPr="004616BE">
        <w:rPr>
          <w:b/>
          <w:bCs/>
        </w:rPr>
        <w:t>Nurs</w:t>
      </w:r>
      <w:proofErr w:type="spellEnd"/>
      <w:r w:rsidRPr="004616BE">
        <w:rPr>
          <w:b/>
          <w:bCs/>
        </w:rPr>
        <w:t xml:space="preserve"> Rev. 2015;62(2):162-170.</w:t>
      </w:r>
    </w:p>
    <w:p w:rsidR="004616BE" w:rsidRPr="004616BE" w:rsidRDefault="004616BE" w:rsidP="004616BE">
      <w:pPr>
        <w:numPr>
          <w:ilvl w:val="0"/>
          <w:numId w:val="22"/>
        </w:numPr>
        <w:rPr>
          <w:b/>
          <w:bCs/>
        </w:rPr>
      </w:pPr>
      <w:proofErr w:type="spellStart"/>
      <w:r w:rsidRPr="004616BE">
        <w:rPr>
          <w:b/>
          <w:bCs/>
        </w:rPr>
        <w:t>Papathanassoglou</w:t>
      </w:r>
      <w:proofErr w:type="spellEnd"/>
      <w:r w:rsidRPr="004616BE">
        <w:rPr>
          <w:b/>
          <w:bCs/>
        </w:rPr>
        <w:t xml:space="preserve"> EDE, </w:t>
      </w:r>
      <w:proofErr w:type="spellStart"/>
      <w:r w:rsidRPr="004616BE">
        <w:rPr>
          <w:b/>
          <w:bCs/>
        </w:rPr>
        <w:t>Karanikola</w:t>
      </w:r>
      <w:proofErr w:type="spellEnd"/>
      <w:r w:rsidRPr="004616BE">
        <w:rPr>
          <w:b/>
          <w:bCs/>
        </w:rPr>
        <w:t xml:space="preserve"> MNK, </w:t>
      </w:r>
      <w:proofErr w:type="spellStart"/>
      <w:r w:rsidRPr="004616BE">
        <w:rPr>
          <w:b/>
          <w:bCs/>
        </w:rPr>
        <w:t>Kalafati</w:t>
      </w:r>
      <w:proofErr w:type="spellEnd"/>
      <w:r w:rsidRPr="004616BE">
        <w:rPr>
          <w:b/>
          <w:bCs/>
        </w:rPr>
        <w:t xml:space="preserve"> M, et al. Professional autonomy, collaboration with physicians, and moral distress among European intensive care nurses. Am J </w:t>
      </w:r>
      <w:proofErr w:type="spellStart"/>
      <w:r w:rsidRPr="004616BE">
        <w:rPr>
          <w:b/>
          <w:bCs/>
        </w:rPr>
        <w:t>Crit</w:t>
      </w:r>
      <w:proofErr w:type="spellEnd"/>
      <w:r w:rsidRPr="004616BE">
        <w:rPr>
          <w:b/>
          <w:bCs/>
        </w:rPr>
        <w:t xml:space="preserve"> Care. 2012;21(2</w:t>
      </w:r>
      <w:proofErr w:type="gramStart"/>
      <w:r w:rsidRPr="004616BE">
        <w:rPr>
          <w:b/>
          <w:bCs/>
        </w:rPr>
        <w:t>):e</w:t>
      </w:r>
      <w:proofErr w:type="gramEnd"/>
      <w:r w:rsidRPr="004616BE">
        <w:rPr>
          <w:b/>
          <w:bCs/>
        </w:rPr>
        <w:t>41-e52.</w:t>
      </w:r>
    </w:p>
    <w:p w:rsidR="004616BE" w:rsidRPr="004616BE" w:rsidRDefault="004616BE" w:rsidP="004616BE">
      <w:pPr>
        <w:numPr>
          <w:ilvl w:val="0"/>
          <w:numId w:val="22"/>
        </w:numPr>
        <w:rPr>
          <w:b/>
          <w:bCs/>
        </w:rPr>
      </w:pPr>
      <w:r w:rsidRPr="004616BE">
        <w:rPr>
          <w:b/>
          <w:bCs/>
        </w:rPr>
        <w:t>Hall WJ, Chapman MV, Lee KM, et al. Implicit Racial/Ethnic Bias Among Health Care Professionals and Its Influence on Health Care Outcomes: A Systematic Review. Am J Public Health. 2015;105(12</w:t>
      </w:r>
      <w:proofErr w:type="gramStart"/>
      <w:r w:rsidRPr="004616BE">
        <w:rPr>
          <w:b/>
          <w:bCs/>
        </w:rPr>
        <w:t>):e</w:t>
      </w:r>
      <w:proofErr w:type="gramEnd"/>
      <w:r w:rsidRPr="004616BE">
        <w:rPr>
          <w:b/>
          <w:bCs/>
        </w:rPr>
        <w:t>60-e76.</w:t>
      </w:r>
    </w:p>
    <w:p w:rsidR="004616BE" w:rsidRPr="004616BE" w:rsidRDefault="004616BE" w:rsidP="004616BE">
      <w:pPr>
        <w:numPr>
          <w:ilvl w:val="0"/>
          <w:numId w:val="22"/>
        </w:numPr>
        <w:rPr>
          <w:b/>
          <w:bCs/>
        </w:rPr>
      </w:pPr>
      <w:r w:rsidRPr="004616BE">
        <w:rPr>
          <w:b/>
          <w:bCs/>
        </w:rPr>
        <w:t>Flores G; Committee On Pediatric Research. Technical report--racial and ethnic disparities in the health and health care of children. Pediatrics. 2010;125(4</w:t>
      </w:r>
      <w:proofErr w:type="gramStart"/>
      <w:r w:rsidRPr="004616BE">
        <w:rPr>
          <w:b/>
          <w:bCs/>
        </w:rPr>
        <w:t>):e</w:t>
      </w:r>
      <w:proofErr w:type="gramEnd"/>
      <w:r w:rsidRPr="004616BE">
        <w:rPr>
          <w:b/>
          <w:bCs/>
        </w:rPr>
        <w:t>979-e1020.</w:t>
      </w:r>
    </w:p>
    <w:p w:rsidR="004616BE" w:rsidRPr="004616BE" w:rsidRDefault="004616BE" w:rsidP="004616BE">
      <w:pPr>
        <w:numPr>
          <w:ilvl w:val="0"/>
          <w:numId w:val="22"/>
        </w:numPr>
        <w:rPr>
          <w:b/>
          <w:bCs/>
        </w:rPr>
      </w:pPr>
      <w:r w:rsidRPr="004616BE">
        <w:rPr>
          <w:b/>
          <w:bCs/>
        </w:rPr>
        <w:t xml:space="preserve">Black RE, </w:t>
      </w:r>
      <w:proofErr w:type="spellStart"/>
      <w:r w:rsidRPr="004616BE">
        <w:rPr>
          <w:b/>
          <w:bCs/>
        </w:rPr>
        <w:t>Victora</w:t>
      </w:r>
      <w:proofErr w:type="spellEnd"/>
      <w:r w:rsidRPr="004616BE">
        <w:rPr>
          <w:b/>
          <w:bCs/>
        </w:rPr>
        <w:t xml:space="preserve"> CG, Walker SP, et al. Maternal and child undernutrition and overweight in low-income and middle-income countries. Lancet. 2013;382(9890):427-451.</w:t>
      </w:r>
    </w:p>
    <w:p w:rsidR="004616BE" w:rsidRPr="004616BE" w:rsidRDefault="004616BE" w:rsidP="004616BE">
      <w:pPr>
        <w:numPr>
          <w:ilvl w:val="0"/>
          <w:numId w:val="22"/>
        </w:numPr>
        <w:rPr>
          <w:b/>
          <w:bCs/>
        </w:rPr>
      </w:pPr>
      <w:r w:rsidRPr="004616BE">
        <w:rPr>
          <w:b/>
          <w:bCs/>
        </w:rPr>
        <w:t xml:space="preserve">Marcin JP, Shaikh U, </w:t>
      </w:r>
      <w:proofErr w:type="spellStart"/>
      <w:r w:rsidRPr="004616BE">
        <w:rPr>
          <w:b/>
          <w:bCs/>
        </w:rPr>
        <w:t>Steinhorn</w:t>
      </w:r>
      <w:proofErr w:type="spellEnd"/>
      <w:r w:rsidRPr="004616BE">
        <w:rPr>
          <w:b/>
          <w:bCs/>
        </w:rPr>
        <w:t xml:space="preserve"> RH. Addressing Health Disparities in Rural Communities Using Telehealth. </w:t>
      </w:r>
      <w:proofErr w:type="spellStart"/>
      <w:r w:rsidRPr="004616BE">
        <w:rPr>
          <w:b/>
          <w:bCs/>
        </w:rPr>
        <w:t>Pediatr</w:t>
      </w:r>
      <w:proofErr w:type="spellEnd"/>
      <w:r w:rsidRPr="004616BE">
        <w:rPr>
          <w:b/>
          <w:bCs/>
        </w:rPr>
        <w:t xml:space="preserve"> Res. 2016;79(1-2):169-176.</w:t>
      </w:r>
    </w:p>
    <w:p w:rsidR="004616BE" w:rsidRPr="004616BE" w:rsidRDefault="004616BE" w:rsidP="004616BE">
      <w:pPr>
        <w:numPr>
          <w:ilvl w:val="0"/>
          <w:numId w:val="22"/>
        </w:numPr>
        <w:rPr>
          <w:b/>
          <w:bCs/>
        </w:rPr>
      </w:pPr>
      <w:r w:rsidRPr="004616BE">
        <w:rPr>
          <w:b/>
          <w:bCs/>
        </w:rPr>
        <w:t xml:space="preserve">Say L, Chou D, </w:t>
      </w:r>
      <w:proofErr w:type="spellStart"/>
      <w:r w:rsidRPr="004616BE">
        <w:rPr>
          <w:b/>
          <w:bCs/>
        </w:rPr>
        <w:t>Gemmill</w:t>
      </w:r>
      <w:proofErr w:type="spellEnd"/>
      <w:r w:rsidRPr="004616BE">
        <w:rPr>
          <w:b/>
          <w:bCs/>
        </w:rPr>
        <w:t xml:space="preserve"> A, et al. Global causes of maternal death: a WHO systematic analysis. Lancet Glob Health. 2014;2(6</w:t>
      </w:r>
      <w:proofErr w:type="gramStart"/>
      <w:r w:rsidRPr="004616BE">
        <w:rPr>
          <w:b/>
          <w:bCs/>
        </w:rPr>
        <w:t>):e</w:t>
      </w:r>
      <w:proofErr w:type="gramEnd"/>
      <w:r w:rsidRPr="004616BE">
        <w:rPr>
          <w:b/>
          <w:bCs/>
        </w:rPr>
        <w:t>323-e333.</w:t>
      </w:r>
    </w:p>
    <w:p w:rsidR="004616BE" w:rsidRPr="004616BE" w:rsidRDefault="004616BE" w:rsidP="004616BE">
      <w:pPr>
        <w:numPr>
          <w:ilvl w:val="0"/>
          <w:numId w:val="22"/>
        </w:numPr>
        <w:rPr>
          <w:b/>
          <w:bCs/>
        </w:rPr>
      </w:pPr>
      <w:proofErr w:type="spellStart"/>
      <w:r w:rsidRPr="004616BE">
        <w:rPr>
          <w:b/>
          <w:bCs/>
        </w:rPr>
        <w:t>Bhutta</w:t>
      </w:r>
      <w:proofErr w:type="spellEnd"/>
      <w:r w:rsidRPr="004616BE">
        <w:rPr>
          <w:b/>
          <w:bCs/>
        </w:rPr>
        <w:t xml:space="preserve"> ZA, </w:t>
      </w:r>
      <w:proofErr w:type="spellStart"/>
      <w:r w:rsidRPr="004616BE">
        <w:rPr>
          <w:b/>
          <w:bCs/>
        </w:rPr>
        <w:t>Lassi</w:t>
      </w:r>
      <w:proofErr w:type="spellEnd"/>
      <w:r w:rsidRPr="004616BE">
        <w:rPr>
          <w:b/>
          <w:bCs/>
        </w:rPr>
        <w:t xml:space="preserve"> ZS, </w:t>
      </w:r>
      <w:proofErr w:type="spellStart"/>
      <w:r w:rsidRPr="004616BE">
        <w:rPr>
          <w:b/>
          <w:bCs/>
        </w:rPr>
        <w:t>Pariyo</w:t>
      </w:r>
      <w:proofErr w:type="spellEnd"/>
      <w:r w:rsidRPr="004616BE">
        <w:rPr>
          <w:b/>
          <w:bCs/>
        </w:rPr>
        <w:t xml:space="preserve"> G, </w:t>
      </w:r>
      <w:proofErr w:type="spellStart"/>
      <w:r w:rsidRPr="004616BE">
        <w:rPr>
          <w:b/>
          <w:bCs/>
        </w:rPr>
        <w:t>Huicho</w:t>
      </w:r>
      <w:proofErr w:type="spellEnd"/>
      <w:r w:rsidRPr="004616BE">
        <w:rPr>
          <w:b/>
          <w:bCs/>
        </w:rPr>
        <w:t xml:space="preserve"> L. Global Experience of Community Health Workers for Delivery of Health Related Millennium Development Goals: A Systematic Review, Country Case Studies, and Recommendations for Integration into National Health Systems. World Health Organization; 2010.</w:t>
      </w:r>
    </w:p>
    <w:p w:rsidR="004616BE" w:rsidRPr="004616BE" w:rsidRDefault="004616BE" w:rsidP="004616BE">
      <w:pPr>
        <w:numPr>
          <w:ilvl w:val="0"/>
          <w:numId w:val="22"/>
        </w:numPr>
        <w:rPr>
          <w:b/>
          <w:bCs/>
        </w:rPr>
      </w:pPr>
      <w:r w:rsidRPr="004616BE">
        <w:rPr>
          <w:b/>
          <w:bCs/>
        </w:rPr>
        <w:t>Iranian Ministry of Health and Medical Education. National Health Statistics Report. Tehran: MOHME; 2023.</w:t>
      </w:r>
    </w:p>
    <w:p w:rsidR="004616BE" w:rsidRPr="004616BE" w:rsidRDefault="004616BE" w:rsidP="004616BE">
      <w:pPr>
        <w:numPr>
          <w:ilvl w:val="0"/>
          <w:numId w:val="22"/>
        </w:numPr>
        <w:rPr>
          <w:b/>
          <w:bCs/>
        </w:rPr>
      </w:pPr>
      <w:proofErr w:type="spellStart"/>
      <w:r w:rsidRPr="004616BE">
        <w:rPr>
          <w:b/>
          <w:bCs/>
        </w:rPr>
        <w:t>Abbaszadeh</w:t>
      </w:r>
      <w:proofErr w:type="spellEnd"/>
      <w:r w:rsidRPr="004616BE">
        <w:rPr>
          <w:b/>
          <w:bCs/>
        </w:rPr>
        <w:t xml:space="preserve"> A, et al. Nursing workload and its impact on patient safety in Iranian hospitals. J </w:t>
      </w:r>
      <w:proofErr w:type="spellStart"/>
      <w:r w:rsidRPr="004616BE">
        <w:rPr>
          <w:b/>
          <w:bCs/>
        </w:rPr>
        <w:t>Nurs</w:t>
      </w:r>
      <w:proofErr w:type="spellEnd"/>
      <w:r w:rsidRPr="004616BE">
        <w:rPr>
          <w:b/>
          <w:bCs/>
        </w:rPr>
        <w:t xml:space="preserve"> </w:t>
      </w:r>
      <w:proofErr w:type="spellStart"/>
      <w:r w:rsidRPr="004616BE">
        <w:rPr>
          <w:b/>
          <w:bCs/>
        </w:rPr>
        <w:t>Manag</w:t>
      </w:r>
      <w:proofErr w:type="spellEnd"/>
      <w:r w:rsidRPr="004616BE">
        <w:rPr>
          <w:b/>
          <w:bCs/>
        </w:rPr>
        <w:t>. 2020;28(5):1120-1128.</w:t>
      </w:r>
    </w:p>
    <w:p w:rsidR="004616BE" w:rsidRPr="004616BE" w:rsidRDefault="004616BE" w:rsidP="004616BE">
      <w:pPr>
        <w:numPr>
          <w:ilvl w:val="0"/>
          <w:numId w:val="22"/>
        </w:numPr>
        <w:rPr>
          <w:b/>
          <w:bCs/>
        </w:rPr>
      </w:pPr>
      <w:proofErr w:type="spellStart"/>
      <w:r w:rsidRPr="004616BE">
        <w:rPr>
          <w:b/>
          <w:bCs/>
        </w:rPr>
        <w:t>Ebrahimi</w:t>
      </w:r>
      <w:proofErr w:type="spellEnd"/>
      <w:r w:rsidRPr="004616BE">
        <w:rPr>
          <w:b/>
          <w:bCs/>
        </w:rPr>
        <w:t xml:space="preserve"> H, et al. Ethnic disparities in patient-provider communication in Iranian healthcare settings. Patient </w:t>
      </w:r>
      <w:proofErr w:type="spellStart"/>
      <w:r w:rsidRPr="004616BE">
        <w:rPr>
          <w:b/>
          <w:bCs/>
        </w:rPr>
        <w:t>Educ</w:t>
      </w:r>
      <w:proofErr w:type="spellEnd"/>
      <w:r w:rsidRPr="004616BE">
        <w:rPr>
          <w:b/>
          <w:bCs/>
        </w:rPr>
        <w:t xml:space="preserve"> </w:t>
      </w:r>
      <w:proofErr w:type="spellStart"/>
      <w:r w:rsidRPr="004616BE">
        <w:rPr>
          <w:b/>
          <w:bCs/>
        </w:rPr>
        <w:t>Couns</w:t>
      </w:r>
      <w:proofErr w:type="spellEnd"/>
      <w:r w:rsidRPr="004616BE">
        <w:rPr>
          <w:b/>
          <w:bCs/>
        </w:rPr>
        <w:t>. 2021;104(3):512-518.</w:t>
      </w:r>
    </w:p>
    <w:p w:rsidR="004616BE" w:rsidRPr="004616BE" w:rsidRDefault="004616BE" w:rsidP="004616BE">
      <w:pPr>
        <w:numPr>
          <w:ilvl w:val="0"/>
          <w:numId w:val="22"/>
        </w:numPr>
        <w:rPr>
          <w:b/>
          <w:bCs/>
        </w:rPr>
      </w:pPr>
      <w:proofErr w:type="spellStart"/>
      <w:r w:rsidRPr="004616BE">
        <w:rPr>
          <w:b/>
          <w:bCs/>
        </w:rPr>
        <w:t>Khosravizadeh</w:t>
      </w:r>
      <w:proofErr w:type="spellEnd"/>
      <w:r w:rsidRPr="004616BE">
        <w:rPr>
          <w:b/>
          <w:bCs/>
        </w:rPr>
        <w:t xml:space="preserve"> O, et al. The impact of cultural competence training on patient satisfaction in Kerman hospitals. J Med Ethics </w:t>
      </w:r>
      <w:proofErr w:type="spellStart"/>
      <w:r w:rsidRPr="004616BE">
        <w:rPr>
          <w:b/>
          <w:bCs/>
        </w:rPr>
        <w:t>Hist</w:t>
      </w:r>
      <w:proofErr w:type="spellEnd"/>
      <w:r w:rsidRPr="004616BE">
        <w:rPr>
          <w:b/>
          <w:bCs/>
        </w:rPr>
        <w:t xml:space="preserve"> Med. </w:t>
      </w:r>
      <w:proofErr w:type="gramStart"/>
      <w:r w:rsidRPr="004616BE">
        <w:rPr>
          <w:b/>
          <w:bCs/>
        </w:rPr>
        <w:t>2022;15:4</w:t>
      </w:r>
      <w:proofErr w:type="gramEnd"/>
      <w:r w:rsidRPr="004616BE">
        <w:rPr>
          <w:b/>
          <w:bCs/>
        </w:rPr>
        <w:t>.</w:t>
      </w:r>
    </w:p>
    <w:p w:rsidR="004616BE" w:rsidRPr="004616BE" w:rsidRDefault="004616BE" w:rsidP="004616BE">
      <w:pPr>
        <w:numPr>
          <w:ilvl w:val="0"/>
          <w:numId w:val="22"/>
        </w:numPr>
        <w:rPr>
          <w:b/>
          <w:bCs/>
        </w:rPr>
      </w:pPr>
      <w:r w:rsidRPr="004616BE">
        <w:rPr>
          <w:b/>
          <w:bCs/>
        </w:rPr>
        <w:t xml:space="preserve">Jabbari B, et al. The </w:t>
      </w:r>
      <w:proofErr w:type="spellStart"/>
      <w:r w:rsidRPr="004616BE">
        <w:rPr>
          <w:b/>
          <w:bCs/>
        </w:rPr>
        <w:t>Behvarz</w:t>
      </w:r>
      <w:proofErr w:type="spellEnd"/>
      <w:r w:rsidRPr="004616BE">
        <w:rPr>
          <w:b/>
          <w:bCs/>
        </w:rPr>
        <w:t xml:space="preserve"> system: achievements and challenges in rural healthcare delivery. Rural Remote Health. 2019;19(2):5128.</w:t>
      </w:r>
    </w:p>
    <w:p w:rsidR="004616BE" w:rsidRPr="004616BE" w:rsidRDefault="004616BE" w:rsidP="004616BE">
      <w:pPr>
        <w:numPr>
          <w:ilvl w:val="0"/>
          <w:numId w:val="22"/>
        </w:numPr>
        <w:rPr>
          <w:b/>
          <w:bCs/>
        </w:rPr>
      </w:pPr>
      <w:r w:rsidRPr="004616BE">
        <w:rPr>
          <w:b/>
          <w:bCs/>
        </w:rPr>
        <w:t>National Immunization Office. Vaccination coverage report. Tehran: MOHME; 2023.</w:t>
      </w:r>
    </w:p>
    <w:p w:rsidR="004616BE" w:rsidRPr="004616BE" w:rsidRDefault="004616BE" w:rsidP="004616BE">
      <w:pPr>
        <w:numPr>
          <w:ilvl w:val="0"/>
          <w:numId w:val="22"/>
        </w:numPr>
        <w:rPr>
          <w:b/>
          <w:bCs/>
        </w:rPr>
      </w:pPr>
      <w:proofErr w:type="spellStart"/>
      <w:r w:rsidRPr="004616BE">
        <w:rPr>
          <w:b/>
          <w:bCs/>
        </w:rPr>
        <w:lastRenderedPageBreak/>
        <w:t>Dastgiri</w:t>
      </w:r>
      <w:proofErr w:type="spellEnd"/>
      <w:r w:rsidRPr="004616BE">
        <w:rPr>
          <w:b/>
          <w:bCs/>
        </w:rPr>
        <w:t xml:space="preserve"> S, et al. Geographical disparities in child malnutrition in Iran: a spatial analysis. BMC Public Health. </w:t>
      </w:r>
      <w:proofErr w:type="gramStart"/>
      <w:r w:rsidRPr="004616BE">
        <w:rPr>
          <w:b/>
          <w:bCs/>
        </w:rPr>
        <w:t>2021;21:1467</w:t>
      </w:r>
      <w:proofErr w:type="gramEnd"/>
      <w:r w:rsidRPr="004616BE">
        <w:rPr>
          <w:b/>
          <w:bCs/>
        </w:rPr>
        <w:t>.</w:t>
      </w:r>
    </w:p>
    <w:p w:rsidR="004616BE" w:rsidRPr="004616BE" w:rsidRDefault="004616BE" w:rsidP="004616BE">
      <w:pPr>
        <w:numPr>
          <w:ilvl w:val="0"/>
          <w:numId w:val="22"/>
        </w:numPr>
        <w:rPr>
          <w:b/>
          <w:bCs/>
        </w:rPr>
      </w:pPr>
      <w:r w:rsidRPr="004616BE">
        <w:rPr>
          <w:b/>
          <w:bCs/>
        </w:rPr>
        <w:t>Iranian Pediatric Society. Specialist distribution survey. Tehran: IPS; 2022.</w:t>
      </w:r>
    </w:p>
    <w:p w:rsidR="004616BE" w:rsidRPr="004616BE" w:rsidRDefault="004616BE" w:rsidP="004616BE">
      <w:pPr>
        <w:numPr>
          <w:ilvl w:val="0"/>
          <w:numId w:val="22"/>
        </w:numPr>
        <w:rPr>
          <w:b/>
          <w:bCs/>
        </w:rPr>
      </w:pPr>
      <w:r w:rsidRPr="004616BE">
        <w:rPr>
          <w:b/>
          <w:bCs/>
        </w:rPr>
        <w:t>Fars Provincial Health Center. School health program evaluation report. Shiraz: FPHC; 2023.</w:t>
      </w:r>
    </w:p>
    <w:p w:rsidR="004616BE" w:rsidRPr="004616BE" w:rsidRDefault="004616BE" w:rsidP="004616BE">
      <w:pPr>
        <w:numPr>
          <w:ilvl w:val="0"/>
          <w:numId w:val="22"/>
        </w:numPr>
        <w:rPr>
          <w:b/>
          <w:bCs/>
        </w:rPr>
      </w:pPr>
      <w:r w:rsidRPr="004616BE">
        <w:rPr>
          <w:b/>
          <w:bCs/>
        </w:rPr>
        <w:t>National Nutrition and Food Technology Research Institute. School supplementation program evaluation. Tehran: NNFTRI; 2022.</w:t>
      </w:r>
    </w:p>
    <w:p w:rsidR="004616BE" w:rsidRPr="004616BE" w:rsidRDefault="004616BE" w:rsidP="004616BE">
      <w:pPr>
        <w:numPr>
          <w:ilvl w:val="0"/>
          <w:numId w:val="22"/>
        </w:numPr>
        <w:rPr>
          <w:b/>
          <w:bCs/>
        </w:rPr>
      </w:pPr>
      <w:r w:rsidRPr="004616BE">
        <w:rPr>
          <w:b/>
          <w:bCs/>
        </w:rPr>
        <w:t>Khorasan University of Medical Sciences. Telemedicine initiative final report. Mashhad: KUMS; 2023.</w:t>
      </w:r>
    </w:p>
    <w:p w:rsidR="004616BE" w:rsidRPr="004616BE" w:rsidRDefault="004616BE" w:rsidP="004616BE">
      <w:pPr>
        <w:numPr>
          <w:ilvl w:val="0"/>
          <w:numId w:val="22"/>
        </w:numPr>
        <w:rPr>
          <w:b/>
          <w:bCs/>
        </w:rPr>
      </w:pPr>
      <w:r w:rsidRPr="004616BE">
        <w:rPr>
          <w:b/>
          <w:bCs/>
        </w:rPr>
        <w:t>Maternal Health Office. National maternal mortality surveillance report. Tehran: MOHME; 2023.</w:t>
      </w:r>
    </w:p>
    <w:p w:rsidR="004616BE" w:rsidRPr="004616BE" w:rsidRDefault="004616BE" w:rsidP="004616BE">
      <w:pPr>
        <w:numPr>
          <w:ilvl w:val="0"/>
          <w:numId w:val="22"/>
        </w:numPr>
        <w:rPr>
          <w:b/>
          <w:bCs/>
        </w:rPr>
      </w:pPr>
      <w:proofErr w:type="spellStart"/>
      <w:r w:rsidRPr="004616BE">
        <w:rPr>
          <w:b/>
          <w:bCs/>
        </w:rPr>
        <w:t>Ramezani</w:t>
      </w:r>
      <w:proofErr w:type="spellEnd"/>
      <w:r w:rsidRPr="004616BE">
        <w:rPr>
          <w:b/>
          <w:bCs/>
        </w:rPr>
        <w:t xml:space="preserve"> M, et al. Barriers to prenatal care in rural Iran: a qualitative study. BMC Pregnancy Childbirth. </w:t>
      </w:r>
      <w:proofErr w:type="gramStart"/>
      <w:r w:rsidRPr="004616BE">
        <w:rPr>
          <w:b/>
          <w:bCs/>
        </w:rPr>
        <w:t>2022;22:689</w:t>
      </w:r>
      <w:proofErr w:type="gramEnd"/>
      <w:r w:rsidRPr="004616BE">
        <w:rPr>
          <w:b/>
          <w:bCs/>
        </w:rPr>
        <w:t>.</w:t>
      </w:r>
    </w:p>
    <w:p w:rsidR="004616BE" w:rsidRPr="004616BE" w:rsidRDefault="004616BE" w:rsidP="004616BE">
      <w:pPr>
        <w:numPr>
          <w:ilvl w:val="0"/>
          <w:numId w:val="22"/>
        </w:numPr>
        <w:rPr>
          <w:b/>
          <w:bCs/>
        </w:rPr>
      </w:pPr>
      <w:proofErr w:type="spellStart"/>
      <w:r w:rsidRPr="004616BE">
        <w:rPr>
          <w:b/>
          <w:bCs/>
        </w:rPr>
        <w:t>Mohammadpour</w:t>
      </w:r>
      <w:proofErr w:type="spellEnd"/>
      <w:r w:rsidRPr="004616BE">
        <w:rPr>
          <w:b/>
          <w:bCs/>
        </w:rPr>
        <w:t xml:space="preserve"> M, et al. Intimate partner violence and healthcare seeking in Iran. J </w:t>
      </w:r>
      <w:proofErr w:type="spellStart"/>
      <w:r w:rsidRPr="004616BE">
        <w:rPr>
          <w:b/>
          <w:bCs/>
        </w:rPr>
        <w:t>Interpers</w:t>
      </w:r>
      <w:proofErr w:type="spellEnd"/>
      <w:r w:rsidRPr="004616BE">
        <w:rPr>
          <w:b/>
          <w:bCs/>
        </w:rPr>
        <w:t xml:space="preserve"> Violence. 2023;38(5-6):4892-4912.</w:t>
      </w:r>
    </w:p>
    <w:p w:rsidR="004616BE" w:rsidRPr="004616BE" w:rsidRDefault="004616BE" w:rsidP="004616BE">
      <w:pPr>
        <w:numPr>
          <w:ilvl w:val="0"/>
          <w:numId w:val="22"/>
        </w:numPr>
        <w:rPr>
          <w:b/>
          <w:bCs/>
        </w:rPr>
      </w:pPr>
      <w:proofErr w:type="spellStart"/>
      <w:r w:rsidRPr="004616BE">
        <w:rPr>
          <w:b/>
          <w:bCs/>
        </w:rPr>
        <w:t>Gilan</w:t>
      </w:r>
      <w:proofErr w:type="spellEnd"/>
      <w:r w:rsidRPr="004616BE">
        <w:rPr>
          <w:b/>
          <w:bCs/>
        </w:rPr>
        <w:t xml:space="preserve"> University of Medical Sciences. Mobile mammography program report. Rasht: GUMS; 2023.</w:t>
      </w:r>
    </w:p>
    <w:p w:rsidR="004616BE" w:rsidRPr="004616BE" w:rsidRDefault="004616BE" w:rsidP="004616BE">
      <w:pPr>
        <w:numPr>
          <w:ilvl w:val="0"/>
          <w:numId w:val="22"/>
        </w:numPr>
        <w:rPr>
          <w:b/>
          <w:bCs/>
        </w:rPr>
      </w:pPr>
      <w:r w:rsidRPr="004616BE">
        <w:rPr>
          <w:b/>
          <w:bCs/>
        </w:rPr>
        <w:t>West Azerbaijan Health Center. Mothers' Health Volunteers program evaluation. Urmia: WAHC; 2022.</w:t>
      </w:r>
    </w:p>
    <w:p w:rsidR="004616BE" w:rsidRPr="004616BE" w:rsidRDefault="004616BE" w:rsidP="004616BE">
      <w:pPr>
        <w:numPr>
          <w:ilvl w:val="0"/>
          <w:numId w:val="22"/>
        </w:numPr>
        <w:rPr>
          <w:b/>
          <w:bCs/>
        </w:rPr>
      </w:pPr>
      <w:r w:rsidRPr="004616BE">
        <w:rPr>
          <w:b/>
          <w:bCs/>
        </w:rPr>
        <w:t>Tehran University of Medical Sciences. GBV screening pilot program report. Tehran: TUMS; 2023.</w:t>
      </w:r>
    </w:p>
    <w:p w:rsidR="00AE7D14" w:rsidRPr="004616BE" w:rsidRDefault="00DC1765" w:rsidP="004616BE">
      <w:pPr>
        <w:rPr>
          <w:b/>
          <w:bCs/>
        </w:rPr>
      </w:pPr>
      <w:r>
        <w:rPr>
          <w:b/>
          <w:bCs/>
        </w:rPr>
        <w:pict>
          <v:rect id="_x0000_i1028" style="width:0;height:1.5pt" o:hralign="center" o:hrstd="t" o:hr="t" fillcolor="#a0a0a0" stroked="f"/>
        </w:pict>
      </w:r>
      <w:r w:rsidR="004616BE">
        <w:rPr>
          <w:b/>
          <w:bCs/>
        </w:rPr>
        <w:br w:type="textWrapping" w:clear="all"/>
      </w:r>
    </w:p>
    <w:sectPr w:rsidR="00AE7D14" w:rsidRPr="004616BE">
      <w:head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C1765" w:rsidRDefault="00DC1765" w:rsidP="00DB5461">
      <w:pPr>
        <w:spacing w:after="0" w:line="240" w:lineRule="auto"/>
      </w:pPr>
      <w:r>
        <w:separator/>
      </w:r>
    </w:p>
  </w:endnote>
  <w:endnote w:type="continuationSeparator" w:id="0">
    <w:p w:rsidR="00DC1765" w:rsidRDefault="00DC1765" w:rsidP="00DB54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C1765" w:rsidRDefault="00DC1765" w:rsidP="00DB5461">
      <w:pPr>
        <w:spacing w:after="0" w:line="240" w:lineRule="auto"/>
      </w:pPr>
      <w:r>
        <w:separator/>
      </w:r>
    </w:p>
  </w:footnote>
  <w:footnote w:type="continuationSeparator" w:id="0">
    <w:p w:rsidR="00DC1765" w:rsidRDefault="00DC1765" w:rsidP="00DB546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16BE" w:rsidRDefault="004616BE">
    <w:pPr>
      <w:pStyle w:val="Header"/>
    </w:pPr>
    <w:r>
      <w:rPr>
        <w:noProof/>
      </w:rPr>
      <w:drawing>
        <wp:anchor distT="0" distB="0" distL="114300" distR="114300" simplePos="0" relativeHeight="251658240" behindDoc="0" locked="0" layoutInCell="1" allowOverlap="1">
          <wp:simplePos x="0" y="0"/>
          <wp:positionH relativeFrom="column">
            <wp:posOffset>1514475</wp:posOffset>
          </wp:positionH>
          <wp:positionV relativeFrom="paragraph">
            <wp:posOffset>-428625</wp:posOffset>
          </wp:positionV>
          <wp:extent cx="5029200" cy="795655"/>
          <wp:effectExtent l="0" t="0" r="0" b="4445"/>
          <wp:wrapNone/>
          <wp:docPr id="1" name="Picture 2"/>
          <wp:cNvGraphicFramePr/>
          <a:graphic xmlns:a="http://schemas.openxmlformats.org/drawingml/2006/main">
            <a:graphicData uri="http://schemas.openxmlformats.org/drawingml/2006/picture">
              <pic:pic xmlns:pic="http://schemas.openxmlformats.org/drawingml/2006/picture">
                <pic:nvPicPr>
                  <pic:cNvPr id="1"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5029200" cy="795655"/>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3312A4"/>
    <w:multiLevelType w:val="hybridMultilevel"/>
    <w:tmpl w:val="0D20F5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F053AF"/>
    <w:multiLevelType w:val="multilevel"/>
    <w:tmpl w:val="3A1488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9EF434C"/>
    <w:multiLevelType w:val="multilevel"/>
    <w:tmpl w:val="E17CFFE8"/>
    <w:lvl w:ilvl="0">
      <w:start w:val="1"/>
      <w:numFmt w:val="decimal"/>
      <w:lvlText w:val="%1."/>
      <w:lvlJc w:val="left"/>
      <w:pPr>
        <w:tabs>
          <w:tab w:val="num" w:pos="720"/>
        </w:tabs>
        <w:ind w:left="720" w:hanging="360"/>
      </w:pPr>
    </w:lvl>
    <w:lvl w:ilvl="1">
      <w:start w:val="2"/>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CC06084"/>
    <w:multiLevelType w:val="multilevel"/>
    <w:tmpl w:val="00C001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10D58AD"/>
    <w:multiLevelType w:val="multilevel"/>
    <w:tmpl w:val="6854CF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AEE520B"/>
    <w:multiLevelType w:val="multilevel"/>
    <w:tmpl w:val="E17CFFE8"/>
    <w:lvl w:ilvl="0">
      <w:start w:val="1"/>
      <w:numFmt w:val="decimal"/>
      <w:lvlText w:val="%1."/>
      <w:lvlJc w:val="left"/>
      <w:pPr>
        <w:tabs>
          <w:tab w:val="num" w:pos="720"/>
        </w:tabs>
        <w:ind w:left="720" w:hanging="360"/>
      </w:pPr>
    </w:lvl>
    <w:lvl w:ilvl="1">
      <w:start w:val="2"/>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B8454D6"/>
    <w:multiLevelType w:val="multilevel"/>
    <w:tmpl w:val="B7363A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2234685"/>
    <w:multiLevelType w:val="multilevel"/>
    <w:tmpl w:val="402057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7244DC6"/>
    <w:multiLevelType w:val="hybridMultilevel"/>
    <w:tmpl w:val="76006632"/>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9" w15:restartNumberingAfterBreak="0">
    <w:nsid w:val="2CA57C11"/>
    <w:multiLevelType w:val="multilevel"/>
    <w:tmpl w:val="BCBC2A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2715BB8"/>
    <w:multiLevelType w:val="multilevel"/>
    <w:tmpl w:val="BE1823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5094632"/>
    <w:multiLevelType w:val="multilevel"/>
    <w:tmpl w:val="513039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9135FA7"/>
    <w:multiLevelType w:val="multilevel"/>
    <w:tmpl w:val="A762FB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F0909D2"/>
    <w:multiLevelType w:val="multilevel"/>
    <w:tmpl w:val="DFA8DA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3600EDD"/>
    <w:multiLevelType w:val="multilevel"/>
    <w:tmpl w:val="C7F222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FB17D80"/>
    <w:multiLevelType w:val="multilevel"/>
    <w:tmpl w:val="C408FA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2721E2E"/>
    <w:multiLevelType w:val="hybridMultilevel"/>
    <w:tmpl w:val="8DFC8FA6"/>
    <w:lvl w:ilvl="0" w:tplc="4DDA1994">
      <w:start w:val="1"/>
      <w:numFmt w:val="decimal"/>
      <w:lvlText w:val="%1."/>
      <w:lvlJc w:val="left"/>
      <w:pPr>
        <w:ind w:left="1440" w:hanging="360"/>
      </w:pPr>
      <w:rPr>
        <w:vertAlign w:val="baseline"/>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5819091F"/>
    <w:multiLevelType w:val="multilevel"/>
    <w:tmpl w:val="41909A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C685833"/>
    <w:multiLevelType w:val="multilevel"/>
    <w:tmpl w:val="E42893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9BF1DB0"/>
    <w:multiLevelType w:val="multilevel"/>
    <w:tmpl w:val="40B6E2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6C8D379F"/>
    <w:multiLevelType w:val="multilevel"/>
    <w:tmpl w:val="F676C8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E612413"/>
    <w:multiLevelType w:val="multilevel"/>
    <w:tmpl w:val="60EC91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5"/>
  </w:num>
  <w:num w:numId="2">
    <w:abstractNumId w:val="9"/>
  </w:num>
  <w:num w:numId="3">
    <w:abstractNumId w:val="1"/>
  </w:num>
  <w:num w:numId="4">
    <w:abstractNumId w:val="21"/>
  </w:num>
  <w:num w:numId="5">
    <w:abstractNumId w:val="17"/>
  </w:num>
  <w:num w:numId="6">
    <w:abstractNumId w:val="13"/>
  </w:num>
  <w:num w:numId="7">
    <w:abstractNumId w:val="3"/>
  </w:num>
  <w:num w:numId="8">
    <w:abstractNumId w:val="12"/>
  </w:num>
  <w:num w:numId="9">
    <w:abstractNumId w:val="2"/>
  </w:num>
  <w:num w:numId="10">
    <w:abstractNumId w:val="5"/>
  </w:num>
  <w:num w:numId="11">
    <w:abstractNumId w:val="16"/>
  </w:num>
  <w:num w:numId="12">
    <w:abstractNumId w:val="8"/>
  </w:num>
  <w:num w:numId="13">
    <w:abstractNumId w:val="0"/>
  </w:num>
  <w:num w:numId="14">
    <w:abstractNumId w:val="14"/>
  </w:num>
  <w:num w:numId="15">
    <w:abstractNumId w:val="10"/>
  </w:num>
  <w:num w:numId="16">
    <w:abstractNumId w:val="11"/>
  </w:num>
  <w:num w:numId="17">
    <w:abstractNumId w:val="7"/>
  </w:num>
  <w:num w:numId="18">
    <w:abstractNumId w:val="6"/>
  </w:num>
  <w:num w:numId="19">
    <w:abstractNumId w:val="4"/>
  </w:num>
  <w:num w:numId="20">
    <w:abstractNumId w:val="18"/>
  </w:num>
  <w:num w:numId="21">
    <w:abstractNumId w:val="20"/>
  </w:num>
  <w:num w:numId="2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60F0"/>
    <w:rsid w:val="00081B92"/>
    <w:rsid w:val="00274CD7"/>
    <w:rsid w:val="004616BE"/>
    <w:rsid w:val="005D60F0"/>
    <w:rsid w:val="0065122A"/>
    <w:rsid w:val="007109AF"/>
    <w:rsid w:val="00737BAF"/>
    <w:rsid w:val="00AE7D14"/>
    <w:rsid w:val="00BD0F19"/>
    <w:rsid w:val="00C55EDE"/>
    <w:rsid w:val="00DB5461"/>
    <w:rsid w:val="00DC1765"/>
    <w:rsid w:val="00E57F14"/>
    <w:rsid w:val="00ED740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8BBEB1"/>
  <w15:chartTrackingRefBased/>
  <w15:docId w15:val="{439D51B9-98F3-47FF-B21B-126F686397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5D60F0"/>
    <w:rPr>
      <w:color w:val="0563C1" w:themeColor="hyperlink"/>
      <w:u w:val="single"/>
    </w:rPr>
  </w:style>
  <w:style w:type="paragraph" w:styleId="ListParagraph">
    <w:name w:val="List Paragraph"/>
    <w:basedOn w:val="Normal"/>
    <w:uiPriority w:val="34"/>
    <w:qFormat/>
    <w:rsid w:val="005D60F0"/>
    <w:pPr>
      <w:ind w:left="720"/>
      <w:contextualSpacing/>
    </w:pPr>
  </w:style>
  <w:style w:type="paragraph" w:styleId="NoSpacing">
    <w:name w:val="No Spacing"/>
    <w:uiPriority w:val="1"/>
    <w:qFormat/>
    <w:rsid w:val="00C55EDE"/>
    <w:pPr>
      <w:spacing w:after="0" w:line="240" w:lineRule="auto"/>
    </w:pPr>
  </w:style>
  <w:style w:type="paragraph" w:styleId="Header">
    <w:name w:val="header"/>
    <w:basedOn w:val="Normal"/>
    <w:link w:val="HeaderChar"/>
    <w:uiPriority w:val="99"/>
    <w:unhideWhenUsed/>
    <w:rsid w:val="00DB5461"/>
    <w:pPr>
      <w:tabs>
        <w:tab w:val="center" w:pos="4680"/>
        <w:tab w:val="right" w:pos="9360"/>
      </w:tabs>
      <w:spacing w:after="0" w:line="240" w:lineRule="auto"/>
    </w:pPr>
  </w:style>
  <w:style w:type="character" w:customStyle="1" w:styleId="HeaderChar">
    <w:name w:val="Header Char"/>
    <w:basedOn w:val="DefaultParagraphFont"/>
    <w:link w:val="Header"/>
    <w:uiPriority w:val="99"/>
    <w:rsid w:val="00DB5461"/>
  </w:style>
  <w:style w:type="paragraph" w:styleId="Footer">
    <w:name w:val="footer"/>
    <w:basedOn w:val="Normal"/>
    <w:link w:val="FooterChar"/>
    <w:uiPriority w:val="99"/>
    <w:unhideWhenUsed/>
    <w:rsid w:val="00DB5461"/>
    <w:pPr>
      <w:tabs>
        <w:tab w:val="center" w:pos="4680"/>
        <w:tab w:val="right" w:pos="9360"/>
      </w:tabs>
      <w:spacing w:after="0" w:line="240" w:lineRule="auto"/>
    </w:pPr>
  </w:style>
  <w:style w:type="character" w:customStyle="1" w:styleId="FooterChar">
    <w:name w:val="Footer Char"/>
    <w:basedOn w:val="DefaultParagraphFont"/>
    <w:link w:val="Footer"/>
    <w:uiPriority w:val="99"/>
    <w:rsid w:val="00DB54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659914">
      <w:bodyDiv w:val="1"/>
      <w:marLeft w:val="0"/>
      <w:marRight w:val="0"/>
      <w:marTop w:val="0"/>
      <w:marBottom w:val="0"/>
      <w:divBdr>
        <w:top w:val="none" w:sz="0" w:space="0" w:color="auto"/>
        <w:left w:val="none" w:sz="0" w:space="0" w:color="auto"/>
        <w:bottom w:val="none" w:sz="0" w:space="0" w:color="auto"/>
        <w:right w:val="none" w:sz="0" w:space="0" w:color="auto"/>
      </w:divBdr>
      <w:divsChild>
        <w:div w:id="1722289135">
          <w:marLeft w:val="0"/>
          <w:marRight w:val="0"/>
          <w:marTop w:val="0"/>
          <w:marBottom w:val="0"/>
          <w:divBdr>
            <w:top w:val="none" w:sz="0" w:space="0" w:color="auto"/>
            <w:left w:val="none" w:sz="0" w:space="0" w:color="auto"/>
            <w:bottom w:val="none" w:sz="0" w:space="0" w:color="auto"/>
            <w:right w:val="none" w:sz="0" w:space="0" w:color="auto"/>
          </w:divBdr>
          <w:divsChild>
            <w:div w:id="757484842">
              <w:marLeft w:val="0"/>
              <w:marRight w:val="0"/>
              <w:marTop w:val="0"/>
              <w:marBottom w:val="0"/>
              <w:divBdr>
                <w:top w:val="none" w:sz="0" w:space="0" w:color="auto"/>
                <w:left w:val="none" w:sz="0" w:space="0" w:color="auto"/>
                <w:bottom w:val="none" w:sz="0" w:space="0" w:color="auto"/>
                <w:right w:val="none" w:sz="0" w:space="0" w:color="auto"/>
              </w:divBdr>
              <w:divsChild>
                <w:div w:id="19011860">
                  <w:marLeft w:val="0"/>
                  <w:marRight w:val="0"/>
                  <w:marTop w:val="0"/>
                  <w:marBottom w:val="0"/>
                  <w:divBdr>
                    <w:top w:val="none" w:sz="0" w:space="0" w:color="auto"/>
                    <w:left w:val="none" w:sz="0" w:space="0" w:color="auto"/>
                    <w:bottom w:val="none" w:sz="0" w:space="0" w:color="auto"/>
                    <w:right w:val="none" w:sz="0" w:space="0" w:color="auto"/>
                  </w:divBdr>
                  <w:divsChild>
                    <w:div w:id="402602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7898084">
          <w:marLeft w:val="0"/>
          <w:marRight w:val="0"/>
          <w:marTop w:val="0"/>
          <w:marBottom w:val="0"/>
          <w:divBdr>
            <w:top w:val="none" w:sz="0" w:space="0" w:color="auto"/>
            <w:left w:val="none" w:sz="0" w:space="0" w:color="auto"/>
            <w:bottom w:val="none" w:sz="0" w:space="0" w:color="auto"/>
            <w:right w:val="none" w:sz="0" w:space="0" w:color="auto"/>
          </w:divBdr>
          <w:divsChild>
            <w:div w:id="1651592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6179221">
      <w:bodyDiv w:val="1"/>
      <w:marLeft w:val="0"/>
      <w:marRight w:val="0"/>
      <w:marTop w:val="0"/>
      <w:marBottom w:val="0"/>
      <w:divBdr>
        <w:top w:val="none" w:sz="0" w:space="0" w:color="auto"/>
        <w:left w:val="none" w:sz="0" w:space="0" w:color="auto"/>
        <w:bottom w:val="none" w:sz="0" w:space="0" w:color="auto"/>
        <w:right w:val="none" w:sz="0" w:space="0" w:color="auto"/>
      </w:divBdr>
      <w:divsChild>
        <w:div w:id="793330599">
          <w:marLeft w:val="0"/>
          <w:marRight w:val="0"/>
          <w:marTop w:val="0"/>
          <w:marBottom w:val="0"/>
          <w:divBdr>
            <w:top w:val="none" w:sz="0" w:space="0" w:color="auto"/>
            <w:left w:val="none" w:sz="0" w:space="0" w:color="auto"/>
            <w:bottom w:val="none" w:sz="0" w:space="0" w:color="auto"/>
            <w:right w:val="none" w:sz="0" w:space="0" w:color="auto"/>
          </w:divBdr>
          <w:divsChild>
            <w:div w:id="99449612">
              <w:marLeft w:val="0"/>
              <w:marRight w:val="0"/>
              <w:marTop w:val="0"/>
              <w:marBottom w:val="0"/>
              <w:divBdr>
                <w:top w:val="none" w:sz="0" w:space="0" w:color="auto"/>
                <w:left w:val="none" w:sz="0" w:space="0" w:color="auto"/>
                <w:bottom w:val="none" w:sz="0" w:space="0" w:color="auto"/>
                <w:right w:val="none" w:sz="0" w:space="0" w:color="auto"/>
              </w:divBdr>
            </w:div>
          </w:divsChild>
        </w:div>
        <w:div w:id="2114470050">
          <w:marLeft w:val="0"/>
          <w:marRight w:val="0"/>
          <w:marTop w:val="0"/>
          <w:marBottom w:val="0"/>
          <w:divBdr>
            <w:top w:val="none" w:sz="0" w:space="0" w:color="auto"/>
            <w:left w:val="none" w:sz="0" w:space="0" w:color="auto"/>
            <w:bottom w:val="none" w:sz="0" w:space="0" w:color="auto"/>
            <w:right w:val="none" w:sz="0" w:space="0" w:color="auto"/>
          </w:divBdr>
          <w:divsChild>
            <w:div w:id="155804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who.int/health-topics/health-equity" TargetMode="External"/><Relationship Id="rId3" Type="http://schemas.openxmlformats.org/officeDocument/2006/relationships/settings" Target="settings.xml"/><Relationship Id="rId7" Type="http://schemas.openxmlformats.org/officeDocument/2006/relationships/hyperlink" Target="https://M.Sc"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115</TotalTime>
  <Pages>7</Pages>
  <Words>2697</Words>
  <Characters>15379</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diakov.net</Company>
  <LinksUpToDate>false</LinksUpToDate>
  <CharactersWithSpaces>18040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RePack by Diakov</cp:lastModifiedBy>
  <cp:revision>8</cp:revision>
  <cp:lastPrinted>2025-10-15T18:17:00Z</cp:lastPrinted>
  <dcterms:created xsi:type="dcterms:W3CDTF">2025-10-11T19:40:00Z</dcterms:created>
  <dcterms:modified xsi:type="dcterms:W3CDTF">2025-10-15T18:20:00Z</dcterms:modified>
</cp:coreProperties>
</file>