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742" w:rsidRDefault="003A4742" w:rsidP="00416FF7">
      <w:pPr>
        <w:jc w:val="center"/>
        <w:rPr>
          <w:b/>
          <w:bCs/>
          <w:rtl/>
        </w:rPr>
      </w:pPr>
    </w:p>
    <w:p w:rsidR="0098723E" w:rsidRPr="0098723E" w:rsidRDefault="0098723E" w:rsidP="0098723E">
      <w:pPr>
        <w:bidi/>
        <w:spacing w:line="360" w:lineRule="auto"/>
        <w:ind w:left="720"/>
        <w:jc w:val="right"/>
        <w:rPr>
          <w:rFonts w:ascii="New roman" w:hAnsi="New roman"/>
          <w:b/>
          <w:bCs/>
          <w:sz w:val="28"/>
          <w:szCs w:val="28"/>
        </w:rPr>
      </w:pPr>
      <w:r w:rsidRPr="0098723E">
        <w:rPr>
          <w:rFonts w:ascii="New roman" w:hAnsi="New roman"/>
          <w:b/>
          <w:bCs/>
          <w:sz w:val="28"/>
          <w:szCs w:val="28"/>
        </w:rPr>
        <w:t>Successful Aging: A Holistic Review of Models, Contributing Factors, and Societal Implications</w:t>
      </w:r>
    </w:p>
    <w:p w:rsidR="003A4742" w:rsidRPr="003A4742" w:rsidRDefault="00416FF7" w:rsidP="003A4742">
      <w:pPr>
        <w:bidi/>
        <w:spacing w:line="360" w:lineRule="auto"/>
        <w:ind w:left="720"/>
        <w:jc w:val="right"/>
        <w:rPr>
          <w:rStyle w:val="Hyperlink"/>
          <w:rFonts w:ascii="New roman" w:hAnsi="New roman"/>
          <w:color w:val="auto"/>
          <w:sz w:val="20"/>
          <w:szCs w:val="20"/>
          <w:u w:val="none"/>
          <w:rtl/>
        </w:rPr>
      </w:pPr>
      <w:r w:rsidRPr="003A4742">
        <w:rPr>
          <w:rFonts w:ascii="New roman" w:hAnsi="New roman"/>
          <w:b/>
          <w:bCs/>
          <w:sz w:val="20"/>
          <w:szCs w:val="20"/>
        </w:rPr>
        <w:t>Haniyeh Jafardokht</w:t>
      </w:r>
      <w:r w:rsidRPr="003A4742">
        <w:rPr>
          <w:rFonts w:ascii="New roman" w:hAnsi="New roman"/>
          <w:b/>
          <w:bCs/>
          <w:sz w:val="20"/>
          <w:szCs w:val="20"/>
          <w:vertAlign w:val="superscript"/>
        </w:rPr>
        <w:t>1</w:t>
      </w:r>
      <w:r w:rsidRPr="003A4742">
        <w:rPr>
          <w:b/>
          <w:bCs/>
          <w:sz w:val="20"/>
          <w:szCs w:val="20"/>
        </w:rPr>
        <w:t xml:space="preserve"> </w:t>
      </w:r>
      <w:r w:rsidRPr="003A4742">
        <w:rPr>
          <w:rFonts w:ascii="New roman" w:hAnsi="New roman"/>
          <w:b/>
          <w:bCs/>
          <w:sz w:val="20"/>
          <w:szCs w:val="20"/>
        </w:rPr>
        <w:br/>
      </w:r>
      <w:r w:rsidRPr="003A4742">
        <w:rPr>
          <w:rFonts w:ascii="New roman" w:hAnsi="New roman"/>
          <w:b/>
          <w:bCs/>
          <w:sz w:val="16"/>
          <w:szCs w:val="16"/>
        </w:rPr>
        <w:t xml:space="preserve">1.Nurse, Social Security Organization, </w:t>
      </w:r>
      <w:proofErr w:type="spellStart"/>
      <w:r w:rsidRPr="003A4742">
        <w:rPr>
          <w:rFonts w:ascii="New roman" w:hAnsi="New roman"/>
          <w:b/>
          <w:bCs/>
          <w:sz w:val="16"/>
          <w:szCs w:val="16"/>
        </w:rPr>
        <w:t>Shahid</w:t>
      </w:r>
      <w:proofErr w:type="spellEnd"/>
      <w:r w:rsidRPr="003A4742">
        <w:rPr>
          <w:rFonts w:ascii="New roman" w:hAnsi="New roman"/>
          <w:b/>
          <w:bCs/>
          <w:sz w:val="16"/>
          <w:szCs w:val="16"/>
        </w:rPr>
        <w:t xml:space="preserve"> </w:t>
      </w:r>
      <w:proofErr w:type="spellStart"/>
      <w:r w:rsidRPr="003A4742">
        <w:rPr>
          <w:rFonts w:ascii="New roman" w:hAnsi="New roman"/>
          <w:b/>
          <w:bCs/>
          <w:sz w:val="16"/>
          <w:szCs w:val="16"/>
        </w:rPr>
        <w:t>Amlaki</w:t>
      </w:r>
      <w:proofErr w:type="spellEnd"/>
      <w:r w:rsidRPr="003A4742">
        <w:rPr>
          <w:rFonts w:ascii="New roman" w:hAnsi="New roman"/>
          <w:b/>
          <w:bCs/>
          <w:sz w:val="16"/>
          <w:szCs w:val="16"/>
        </w:rPr>
        <w:t xml:space="preserve"> </w:t>
      </w:r>
      <w:proofErr w:type="spellStart"/>
      <w:r w:rsidRPr="003A4742">
        <w:rPr>
          <w:rFonts w:ascii="New roman" w:hAnsi="New roman"/>
          <w:b/>
          <w:bCs/>
          <w:sz w:val="16"/>
          <w:szCs w:val="16"/>
        </w:rPr>
        <w:t>Koomeleh</w:t>
      </w:r>
      <w:proofErr w:type="spellEnd"/>
      <w:r w:rsidRPr="003A4742">
        <w:rPr>
          <w:rFonts w:ascii="New roman" w:hAnsi="New roman"/>
          <w:b/>
          <w:bCs/>
          <w:sz w:val="16"/>
          <w:szCs w:val="16"/>
        </w:rPr>
        <w:t xml:space="preserve"> Social Security Hospital, </w:t>
      </w:r>
      <w:proofErr w:type="spellStart"/>
      <w:r w:rsidRPr="003A4742">
        <w:rPr>
          <w:rFonts w:ascii="New roman" w:hAnsi="New roman"/>
          <w:b/>
          <w:bCs/>
          <w:sz w:val="16"/>
          <w:szCs w:val="16"/>
        </w:rPr>
        <w:t>Langarud</w:t>
      </w:r>
      <w:proofErr w:type="spellEnd"/>
      <w:r w:rsidRPr="003A4742">
        <w:rPr>
          <w:rFonts w:ascii="New roman" w:hAnsi="New roman"/>
          <w:b/>
          <w:bCs/>
          <w:sz w:val="16"/>
          <w:szCs w:val="16"/>
        </w:rPr>
        <w:t>, Iran</w:t>
      </w:r>
      <w:r w:rsidR="003A4742" w:rsidRPr="003A4742">
        <w:rPr>
          <w:rStyle w:val="Hyperlink"/>
          <w:rFonts w:ascii="New roman" w:hAnsi="New roman"/>
          <w:sz w:val="16"/>
          <w:szCs w:val="16"/>
          <w:rtl/>
        </w:rPr>
        <w:t xml:space="preserve"> </w:t>
      </w:r>
    </w:p>
    <w:p w:rsidR="00416FF7" w:rsidRPr="003A4742" w:rsidRDefault="003A4742" w:rsidP="003A4742">
      <w:pPr>
        <w:rPr>
          <w:rFonts w:ascii="New roman" w:hAnsi="New roman"/>
          <w:sz w:val="20"/>
          <w:szCs w:val="20"/>
        </w:rPr>
      </w:pPr>
      <w:r w:rsidRPr="003A4742">
        <w:rPr>
          <w:rFonts w:ascii="New roman" w:hAnsi="New roman"/>
          <w:b/>
          <w:bCs/>
          <w:sz w:val="20"/>
          <w:szCs w:val="20"/>
        </w:rPr>
        <w:t xml:space="preserve"> </w:t>
      </w:r>
      <w:proofErr w:type="spellStart"/>
      <w:r>
        <w:rPr>
          <w:rFonts w:ascii="New roman" w:hAnsi="New roman"/>
          <w:b/>
          <w:bCs/>
          <w:sz w:val="20"/>
          <w:szCs w:val="20"/>
        </w:rPr>
        <w:t>F</w:t>
      </w:r>
      <w:r w:rsidRPr="003A4742">
        <w:rPr>
          <w:rFonts w:ascii="New roman" w:hAnsi="New roman"/>
          <w:b/>
          <w:bCs/>
          <w:sz w:val="20"/>
          <w:szCs w:val="20"/>
        </w:rPr>
        <w:t>atemeh</w:t>
      </w:r>
      <w:proofErr w:type="spellEnd"/>
      <w:r w:rsidRPr="003A4742">
        <w:rPr>
          <w:rFonts w:ascii="New roman" w:hAnsi="New roman"/>
          <w:b/>
          <w:bCs/>
          <w:sz w:val="20"/>
          <w:szCs w:val="20"/>
        </w:rPr>
        <w:t xml:space="preserve"> </w:t>
      </w:r>
      <w:proofErr w:type="spellStart"/>
      <w:r w:rsidRPr="003A4742">
        <w:rPr>
          <w:rFonts w:ascii="New roman" w:hAnsi="New roman"/>
          <w:b/>
          <w:bCs/>
          <w:sz w:val="20"/>
          <w:szCs w:val="20"/>
        </w:rPr>
        <w:t>karjalian</w:t>
      </w:r>
      <w:proofErr w:type="spellEnd"/>
      <w:r w:rsidRPr="003A4742">
        <w:rPr>
          <w:rFonts w:ascii="New roman" w:hAnsi="New roman"/>
          <w:b/>
          <w:bCs/>
          <w:sz w:val="20"/>
          <w:szCs w:val="20"/>
        </w:rPr>
        <w:t xml:space="preserve"> </w:t>
      </w:r>
      <w:r w:rsidRPr="003A4742">
        <w:rPr>
          <w:rFonts w:ascii="New roman" w:hAnsi="New roman"/>
          <w:b/>
          <w:bCs/>
          <w:sz w:val="20"/>
          <w:szCs w:val="20"/>
          <w:vertAlign w:val="superscript"/>
        </w:rPr>
        <w:t>2</w:t>
      </w:r>
    </w:p>
    <w:p w:rsidR="003A4742" w:rsidRPr="003A4742" w:rsidRDefault="00416FF7" w:rsidP="003A4742">
      <w:pPr>
        <w:rPr>
          <w:rFonts w:ascii="New roman" w:hAnsi="New roman"/>
          <w:b/>
          <w:bCs/>
          <w:sz w:val="16"/>
          <w:szCs w:val="16"/>
          <w:rtl/>
        </w:rPr>
      </w:pPr>
      <w:r w:rsidRPr="003A4742">
        <w:rPr>
          <w:rFonts w:ascii="New roman" w:hAnsi="New roman"/>
          <w:b/>
          <w:bCs/>
          <w:sz w:val="16"/>
          <w:szCs w:val="16"/>
        </w:rPr>
        <w:t xml:space="preserve">2. Master of Critical Care Nursing, School of Nursing and Midwifery, </w:t>
      </w:r>
      <w:proofErr w:type="spellStart"/>
      <w:r w:rsidRPr="003A4742">
        <w:rPr>
          <w:rFonts w:ascii="New roman" w:hAnsi="New roman"/>
          <w:b/>
          <w:bCs/>
          <w:sz w:val="16"/>
          <w:szCs w:val="16"/>
        </w:rPr>
        <w:t>Hazrat</w:t>
      </w:r>
      <w:proofErr w:type="spellEnd"/>
      <w:r w:rsidRPr="003A4742">
        <w:rPr>
          <w:rFonts w:ascii="New roman" w:hAnsi="New roman"/>
          <w:b/>
          <w:bCs/>
          <w:sz w:val="16"/>
          <w:szCs w:val="16"/>
        </w:rPr>
        <w:t xml:space="preserve"> </w:t>
      </w:r>
      <w:proofErr w:type="spellStart"/>
      <w:r w:rsidRPr="003A4742">
        <w:rPr>
          <w:rFonts w:ascii="New roman" w:hAnsi="New roman"/>
          <w:b/>
          <w:bCs/>
          <w:sz w:val="16"/>
          <w:szCs w:val="16"/>
        </w:rPr>
        <w:t>Fatemeh</w:t>
      </w:r>
      <w:proofErr w:type="spellEnd"/>
      <w:r w:rsidRPr="003A4742">
        <w:rPr>
          <w:rFonts w:ascii="New roman" w:hAnsi="New roman"/>
          <w:b/>
          <w:bCs/>
          <w:sz w:val="16"/>
          <w:szCs w:val="16"/>
        </w:rPr>
        <w:t xml:space="preserve"> Zahra (S), Shiraz University of Medical Sciences, Iran</w:t>
      </w:r>
    </w:p>
    <w:p w:rsidR="00416FF7" w:rsidRPr="003A4742" w:rsidRDefault="003A4742" w:rsidP="003A4742">
      <w:pPr>
        <w:rPr>
          <w:rFonts w:ascii="New roman" w:hAnsi="New roman"/>
          <w:sz w:val="20"/>
          <w:szCs w:val="20"/>
          <w:rtl/>
          <w:lang w:bidi="fa-IR"/>
        </w:rPr>
      </w:pPr>
      <w:r w:rsidRPr="003A4742">
        <w:rPr>
          <w:rFonts w:ascii="New roman" w:hAnsi="New roman"/>
          <w:b/>
          <w:bCs/>
          <w:sz w:val="20"/>
          <w:szCs w:val="20"/>
        </w:rPr>
        <w:t xml:space="preserve"> </w:t>
      </w:r>
      <w:proofErr w:type="spellStart"/>
      <w:r w:rsidRPr="003A4742">
        <w:rPr>
          <w:rFonts w:ascii="New roman" w:hAnsi="New roman"/>
          <w:b/>
          <w:bCs/>
          <w:sz w:val="20"/>
          <w:szCs w:val="20"/>
        </w:rPr>
        <w:t>Hosna</w:t>
      </w:r>
      <w:proofErr w:type="spellEnd"/>
      <w:r w:rsidRPr="003A4742">
        <w:rPr>
          <w:rFonts w:ascii="New roman" w:hAnsi="New roman"/>
          <w:b/>
          <w:bCs/>
          <w:sz w:val="20"/>
          <w:szCs w:val="20"/>
        </w:rPr>
        <w:t xml:space="preserve"> </w:t>
      </w:r>
      <w:proofErr w:type="spellStart"/>
      <w:r w:rsidRPr="003A4742">
        <w:rPr>
          <w:rFonts w:ascii="New roman" w:hAnsi="New roman"/>
          <w:b/>
          <w:bCs/>
          <w:sz w:val="20"/>
          <w:szCs w:val="20"/>
        </w:rPr>
        <w:t>Babaei</w:t>
      </w:r>
      <w:proofErr w:type="spellEnd"/>
      <w:r w:rsidRPr="003A4742">
        <w:rPr>
          <w:rFonts w:ascii="New roman" w:hAnsi="New roman"/>
          <w:b/>
          <w:bCs/>
          <w:sz w:val="20"/>
          <w:szCs w:val="20"/>
        </w:rPr>
        <w:t xml:space="preserve"> </w:t>
      </w:r>
      <w:r w:rsidRPr="003A4742">
        <w:rPr>
          <w:rFonts w:ascii="New roman" w:hAnsi="New roman"/>
          <w:b/>
          <w:bCs/>
          <w:sz w:val="20"/>
          <w:szCs w:val="20"/>
          <w:vertAlign w:val="superscript"/>
        </w:rPr>
        <w:t>3</w:t>
      </w:r>
    </w:p>
    <w:p w:rsidR="003A4742" w:rsidRDefault="00416FF7" w:rsidP="003A4742">
      <w:pPr>
        <w:rPr>
          <w:rFonts w:ascii="New roman" w:hAnsi="New roman"/>
          <w:b/>
          <w:bCs/>
          <w:sz w:val="16"/>
          <w:szCs w:val="16"/>
        </w:rPr>
      </w:pPr>
      <w:r w:rsidRPr="003A4742">
        <w:rPr>
          <w:rFonts w:ascii="New roman" w:hAnsi="New roman"/>
          <w:b/>
          <w:bCs/>
          <w:sz w:val="16"/>
          <w:szCs w:val="16"/>
        </w:rPr>
        <w:t xml:space="preserve">3. Anesthesia Technician, Iran University of Medical Sciences, </w:t>
      </w:r>
      <w:proofErr w:type="spellStart"/>
      <w:r w:rsidRPr="003A4742">
        <w:rPr>
          <w:rFonts w:ascii="New roman" w:hAnsi="New roman"/>
          <w:b/>
          <w:bCs/>
          <w:sz w:val="16"/>
          <w:szCs w:val="16"/>
        </w:rPr>
        <w:t>Raso</w:t>
      </w:r>
      <w:r w:rsidR="003A4742" w:rsidRPr="003A4742">
        <w:rPr>
          <w:rFonts w:ascii="New roman" w:hAnsi="New roman"/>
          <w:b/>
          <w:bCs/>
          <w:sz w:val="16"/>
          <w:szCs w:val="16"/>
        </w:rPr>
        <w:t>ul</w:t>
      </w:r>
      <w:proofErr w:type="spellEnd"/>
      <w:r w:rsidR="003A4742" w:rsidRPr="003A4742">
        <w:rPr>
          <w:rFonts w:ascii="New roman" w:hAnsi="New roman"/>
          <w:b/>
          <w:bCs/>
          <w:sz w:val="16"/>
          <w:szCs w:val="16"/>
        </w:rPr>
        <w:t xml:space="preserve"> </w:t>
      </w:r>
      <w:proofErr w:type="spellStart"/>
      <w:r w:rsidR="003A4742" w:rsidRPr="003A4742">
        <w:rPr>
          <w:rFonts w:ascii="New roman" w:hAnsi="New roman"/>
          <w:b/>
          <w:bCs/>
          <w:sz w:val="16"/>
          <w:szCs w:val="16"/>
        </w:rPr>
        <w:t>Akram</w:t>
      </w:r>
      <w:proofErr w:type="spellEnd"/>
      <w:r w:rsidR="003A4742" w:rsidRPr="003A4742">
        <w:rPr>
          <w:rFonts w:ascii="New roman" w:hAnsi="New roman"/>
          <w:b/>
          <w:bCs/>
          <w:sz w:val="16"/>
          <w:szCs w:val="16"/>
        </w:rPr>
        <w:t xml:space="preserve"> Hospital, Tehran, Iran</w:t>
      </w:r>
    </w:p>
    <w:p w:rsidR="0098723E" w:rsidRDefault="0098723E" w:rsidP="003A4742">
      <w:pPr>
        <w:rPr>
          <w:rStyle w:val="Hyperlink"/>
          <w:rFonts w:ascii="New roman" w:hAnsi="New roman"/>
          <w:b/>
          <w:bCs/>
          <w:color w:val="auto"/>
          <w:sz w:val="20"/>
          <w:szCs w:val="20"/>
          <w:u w:val="none"/>
          <w:vertAlign w:val="superscript"/>
        </w:rPr>
      </w:pPr>
      <w:proofErr w:type="spellStart"/>
      <w:r w:rsidRPr="0098723E">
        <w:rPr>
          <w:rStyle w:val="Hyperlink"/>
          <w:rFonts w:ascii="New roman" w:hAnsi="New roman"/>
          <w:b/>
          <w:bCs/>
          <w:color w:val="auto"/>
          <w:sz w:val="20"/>
          <w:szCs w:val="20"/>
          <w:u w:val="none"/>
        </w:rPr>
        <w:t>Fatemeh</w:t>
      </w:r>
      <w:proofErr w:type="spellEnd"/>
      <w:r w:rsidRPr="0098723E">
        <w:rPr>
          <w:rStyle w:val="Hyperlink"/>
          <w:rFonts w:ascii="New roman" w:hAnsi="New roman"/>
          <w:b/>
          <w:bCs/>
          <w:color w:val="auto"/>
          <w:sz w:val="20"/>
          <w:szCs w:val="20"/>
          <w:u w:val="none"/>
        </w:rPr>
        <w:t xml:space="preserve"> </w:t>
      </w:r>
      <w:proofErr w:type="spellStart"/>
      <w:r w:rsidRPr="0098723E">
        <w:rPr>
          <w:rStyle w:val="Hyperlink"/>
          <w:rFonts w:ascii="New roman" w:hAnsi="New roman"/>
          <w:b/>
          <w:bCs/>
          <w:color w:val="auto"/>
          <w:sz w:val="20"/>
          <w:szCs w:val="20"/>
          <w:u w:val="none"/>
        </w:rPr>
        <w:t>hadipour</w:t>
      </w:r>
      <w:proofErr w:type="spellEnd"/>
      <w:r w:rsidRPr="0098723E">
        <w:rPr>
          <w:rStyle w:val="Hyperlink"/>
          <w:rFonts w:ascii="New roman" w:hAnsi="New roman"/>
          <w:b/>
          <w:bCs/>
          <w:color w:val="auto"/>
          <w:sz w:val="20"/>
          <w:szCs w:val="20"/>
          <w:u w:val="none"/>
        </w:rPr>
        <w:t xml:space="preserve"> ziaratga</w:t>
      </w:r>
      <w:r w:rsidRPr="0098723E">
        <w:rPr>
          <w:rStyle w:val="Hyperlink"/>
          <w:rFonts w:ascii="New roman" w:hAnsi="New roman"/>
          <w:b/>
          <w:bCs/>
          <w:color w:val="auto"/>
          <w:sz w:val="20"/>
          <w:szCs w:val="20"/>
          <w:u w:val="none"/>
          <w:vertAlign w:val="superscript"/>
        </w:rPr>
        <w:t>4</w:t>
      </w:r>
    </w:p>
    <w:p w:rsidR="0098723E" w:rsidRPr="0098723E" w:rsidRDefault="0098723E" w:rsidP="003A4742">
      <w:pPr>
        <w:rPr>
          <w:rStyle w:val="Hyperlink"/>
          <w:rFonts w:ascii="New roman" w:hAnsi="New roman"/>
          <w:b/>
          <w:bCs/>
          <w:color w:val="auto"/>
          <w:sz w:val="16"/>
          <w:szCs w:val="16"/>
          <w:u w:val="none"/>
          <w:rtl/>
        </w:rPr>
      </w:pPr>
      <w:r w:rsidRPr="0098723E">
        <w:rPr>
          <w:rStyle w:val="Hyperlink"/>
          <w:rFonts w:ascii="New roman" w:hAnsi="New roman"/>
          <w:b/>
          <w:bCs/>
          <w:color w:val="auto"/>
          <w:sz w:val="16"/>
          <w:szCs w:val="16"/>
          <w:u w:val="none"/>
        </w:rPr>
        <w:t>4.</w:t>
      </w:r>
      <w:r w:rsidRPr="0098723E">
        <w:rPr>
          <w:sz w:val="18"/>
          <w:szCs w:val="18"/>
        </w:rPr>
        <w:t xml:space="preserve"> </w:t>
      </w:r>
      <w:r w:rsidRPr="0098723E">
        <w:rPr>
          <w:rStyle w:val="Hyperlink"/>
          <w:rFonts w:ascii="New roman" w:hAnsi="New roman"/>
          <w:b/>
          <w:bCs/>
          <w:color w:val="auto"/>
          <w:sz w:val="16"/>
          <w:szCs w:val="16"/>
          <w:u w:val="none"/>
        </w:rPr>
        <w:t xml:space="preserve">General Practitioner at </w:t>
      </w:r>
      <w:proofErr w:type="spellStart"/>
      <w:r w:rsidRPr="0098723E">
        <w:rPr>
          <w:rStyle w:val="Hyperlink"/>
          <w:rFonts w:ascii="New roman" w:hAnsi="New roman"/>
          <w:b/>
          <w:bCs/>
          <w:color w:val="auto"/>
          <w:sz w:val="16"/>
          <w:szCs w:val="16"/>
          <w:u w:val="none"/>
        </w:rPr>
        <w:t>Shahid</w:t>
      </w:r>
      <w:proofErr w:type="spellEnd"/>
      <w:r w:rsidRPr="0098723E">
        <w:rPr>
          <w:rStyle w:val="Hyperlink"/>
          <w:rFonts w:ascii="New roman" w:hAnsi="New roman"/>
          <w:b/>
          <w:bCs/>
          <w:color w:val="auto"/>
          <w:sz w:val="16"/>
          <w:szCs w:val="16"/>
          <w:u w:val="none"/>
        </w:rPr>
        <w:t xml:space="preserve"> </w:t>
      </w:r>
      <w:proofErr w:type="spellStart"/>
      <w:r w:rsidRPr="0098723E">
        <w:rPr>
          <w:rStyle w:val="Hyperlink"/>
          <w:rFonts w:ascii="New roman" w:hAnsi="New roman"/>
          <w:b/>
          <w:bCs/>
          <w:color w:val="auto"/>
          <w:sz w:val="16"/>
          <w:szCs w:val="16"/>
          <w:u w:val="none"/>
        </w:rPr>
        <w:t>Amlaki</w:t>
      </w:r>
      <w:proofErr w:type="spellEnd"/>
      <w:r w:rsidRPr="0098723E">
        <w:rPr>
          <w:rStyle w:val="Hyperlink"/>
          <w:rFonts w:ascii="New roman" w:hAnsi="New roman"/>
          <w:b/>
          <w:bCs/>
          <w:color w:val="auto"/>
          <w:sz w:val="16"/>
          <w:szCs w:val="16"/>
          <w:u w:val="none"/>
        </w:rPr>
        <w:t xml:space="preserve"> </w:t>
      </w:r>
      <w:proofErr w:type="spellStart"/>
      <w:r w:rsidRPr="0098723E">
        <w:rPr>
          <w:rStyle w:val="Hyperlink"/>
          <w:rFonts w:ascii="New roman" w:hAnsi="New roman"/>
          <w:b/>
          <w:bCs/>
          <w:color w:val="auto"/>
          <w:sz w:val="16"/>
          <w:szCs w:val="16"/>
          <w:u w:val="none"/>
        </w:rPr>
        <w:t>Komleh</w:t>
      </w:r>
      <w:proofErr w:type="spellEnd"/>
      <w:r w:rsidRPr="0098723E">
        <w:rPr>
          <w:rStyle w:val="Hyperlink"/>
          <w:rFonts w:ascii="New roman" w:hAnsi="New roman"/>
          <w:b/>
          <w:bCs/>
          <w:color w:val="auto"/>
          <w:sz w:val="16"/>
          <w:szCs w:val="16"/>
          <w:u w:val="none"/>
        </w:rPr>
        <w:t xml:space="preserve"> Social Security Hospital affiliated with the Social Security Organization in </w:t>
      </w:r>
      <w:proofErr w:type="spellStart"/>
      <w:r w:rsidRPr="0098723E">
        <w:rPr>
          <w:rStyle w:val="Hyperlink"/>
          <w:rFonts w:ascii="New roman" w:hAnsi="New roman"/>
          <w:b/>
          <w:bCs/>
          <w:color w:val="auto"/>
          <w:sz w:val="16"/>
          <w:szCs w:val="16"/>
          <w:u w:val="none"/>
        </w:rPr>
        <w:t>Langarud</w:t>
      </w:r>
      <w:proofErr w:type="spellEnd"/>
      <w:r w:rsidRPr="0098723E">
        <w:rPr>
          <w:rStyle w:val="Hyperlink"/>
          <w:rFonts w:ascii="New roman" w:hAnsi="New roman"/>
          <w:b/>
          <w:bCs/>
          <w:color w:val="auto"/>
          <w:sz w:val="16"/>
          <w:szCs w:val="16"/>
          <w:u w:val="none"/>
        </w:rPr>
        <w:t xml:space="preserve"> Iran</w:t>
      </w:r>
    </w:p>
    <w:p w:rsidR="00416FF7" w:rsidRPr="003A4742" w:rsidRDefault="003A4742" w:rsidP="0098723E">
      <w:pPr>
        <w:rPr>
          <w:rFonts w:ascii="New roman" w:hAnsi="New roman"/>
          <w:sz w:val="20"/>
          <w:szCs w:val="20"/>
        </w:rPr>
      </w:pPr>
      <w:r w:rsidRPr="003A4742">
        <w:rPr>
          <w:rFonts w:ascii="New roman" w:hAnsi="New roman"/>
          <w:b/>
          <w:bCs/>
          <w:sz w:val="20"/>
          <w:szCs w:val="20"/>
        </w:rPr>
        <w:t xml:space="preserve"> </w:t>
      </w:r>
      <w:proofErr w:type="spellStart"/>
      <w:r>
        <w:rPr>
          <w:rFonts w:ascii="New roman" w:hAnsi="New roman"/>
          <w:b/>
          <w:bCs/>
          <w:sz w:val="20"/>
          <w:szCs w:val="20"/>
        </w:rPr>
        <w:t>A</w:t>
      </w:r>
      <w:r w:rsidRPr="003A4742">
        <w:rPr>
          <w:rFonts w:ascii="New roman" w:hAnsi="New roman"/>
          <w:b/>
          <w:bCs/>
          <w:sz w:val="20"/>
          <w:szCs w:val="20"/>
        </w:rPr>
        <w:t>mirabbas</w:t>
      </w:r>
      <w:proofErr w:type="spellEnd"/>
      <w:r w:rsidRPr="003A4742">
        <w:rPr>
          <w:rFonts w:ascii="New roman" w:hAnsi="New roman"/>
          <w:b/>
          <w:bCs/>
          <w:sz w:val="20"/>
          <w:szCs w:val="20"/>
        </w:rPr>
        <w:t xml:space="preserve"> jafardokht</w:t>
      </w:r>
      <w:r w:rsidR="0098723E">
        <w:rPr>
          <w:rFonts w:ascii="New roman" w:hAnsi="New roman"/>
          <w:b/>
          <w:bCs/>
          <w:sz w:val="20"/>
          <w:szCs w:val="20"/>
          <w:vertAlign w:val="superscript"/>
        </w:rPr>
        <w:t>5</w:t>
      </w:r>
    </w:p>
    <w:p w:rsidR="00416FF7" w:rsidRPr="003A4742" w:rsidRDefault="0098723E" w:rsidP="003A4742">
      <w:pPr>
        <w:rPr>
          <w:rFonts w:ascii="New roman" w:hAnsi="New roman"/>
          <w:b/>
          <w:bCs/>
          <w:sz w:val="16"/>
          <w:szCs w:val="16"/>
        </w:rPr>
      </w:pPr>
      <w:r>
        <w:rPr>
          <w:rFonts w:ascii="New roman" w:hAnsi="New roman"/>
          <w:b/>
          <w:bCs/>
          <w:sz w:val="16"/>
          <w:szCs w:val="16"/>
        </w:rPr>
        <w:t>5</w:t>
      </w:r>
      <w:r w:rsidR="003A4742">
        <w:rPr>
          <w:rFonts w:ascii="New roman" w:hAnsi="New roman"/>
          <w:b/>
          <w:bCs/>
          <w:sz w:val="16"/>
          <w:szCs w:val="16"/>
        </w:rPr>
        <w:t>. M</w:t>
      </w:r>
      <w:r w:rsidR="00416FF7" w:rsidRPr="003A4742">
        <w:rPr>
          <w:rFonts w:ascii="New roman" w:hAnsi="New roman"/>
          <w:b/>
          <w:bCs/>
          <w:sz w:val="16"/>
          <w:szCs w:val="16"/>
        </w:rPr>
        <w:t xml:space="preserve">edicine student, Student Research Committee, Faculty of Medicine, Department of Medicine, </w:t>
      </w:r>
      <w:proofErr w:type="spellStart"/>
      <w:r w:rsidR="00416FF7" w:rsidRPr="003A4742">
        <w:rPr>
          <w:rFonts w:ascii="New roman" w:hAnsi="New roman"/>
          <w:b/>
          <w:bCs/>
          <w:sz w:val="16"/>
          <w:szCs w:val="16"/>
        </w:rPr>
        <w:t>Zabol</w:t>
      </w:r>
      <w:proofErr w:type="spellEnd"/>
      <w:r w:rsidR="00416FF7" w:rsidRPr="003A4742">
        <w:rPr>
          <w:rFonts w:ascii="New roman" w:hAnsi="New roman"/>
          <w:b/>
          <w:bCs/>
          <w:sz w:val="16"/>
          <w:szCs w:val="16"/>
        </w:rPr>
        <w:t xml:space="preserve"> University of Medical sciences</w:t>
      </w:r>
    </w:p>
    <w:p w:rsidR="0098723E" w:rsidRPr="0098723E" w:rsidRDefault="00416FF7" w:rsidP="0098723E">
      <w:pPr>
        <w:spacing w:line="360" w:lineRule="auto"/>
      </w:pPr>
      <w:r w:rsidRPr="00416FF7">
        <w:rPr>
          <w:b/>
          <w:bCs/>
        </w:rPr>
        <w:t>Abstract:</w:t>
      </w:r>
      <w:r w:rsidRPr="00416FF7">
        <w:br/>
      </w:r>
      <w:r w:rsidR="0098723E" w:rsidRPr="0098723E">
        <w:t>The paradigm of "successful aging" has evolved significantly, shifting from a narrow focus on disease avoidance to a comprehensive, multi-dimensional model of well-being in later life. This article reviews the predominant models of successful aging, with a primary focus on the influential Rowe and Kahn paradigm. It synthesizes current evidence on the biological, lifestyle, and psychosocial factors that contribute to aging well. The paper examines the roles of genetics, nutrition, physical activity, and cognitive engagement alongside the critical importance of social connectedness, resilience, and psychological well-being. The analysis concludes that successful aging is an attainable objective mediated by modifiable lifestyle choices and robust social support systems. Consequently, this review advocates for public health initiatives and educational programs designed to empower individuals and calls for broader societal actions to combat ageism and foster inclusive communities for older adults.</w:t>
      </w:r>
    </w:p>
    <w:p w:rsidR="0098723E" w:rsidRPr="0098723E" w:rsidRDefault="0098723E" w:rsidP="0098723E">
      <w:pPr>
        <w:spacing w:line="360" w:lineRule="auto"/>
      </w:pPr>
      <w:r w:rsidRPr="0098723E">
        <w:rPr>
          <w:b/>
          <w:bCs/>
        </w:rPr>
        <w:t>Keywords:</w:t>
      </w:r>
      <w:r w:rsidRPr="0098723E">
        <w:t xml:space="preserve"> Successful Aging, Rowe and Kahn, Gerontology, Well-being, Lifestyle Factors, Psychosocial Factors, Public Health.</w:t>
      </w:r>
    </w:p>
    <w:p w:rsidR="0098723E" w:rsidRPr="0098723E" w:rsidRDefault="0098723E" w:rsidP="0098723E">
      <w:pPr>
        <w:spacing w:line="360" w:lineRule="auto"/>
      </w:pPr>
      <w:r w:rsidRPr="0098723E">
        <w:pict>
          <v:rect id="_x0000_i1025" style="width:0;height:1.5pt" o:hralign="center" o:hrstd="t" o:hr="t" fillcolor="#a0a0a0" stroked="f"/>
        </w:pict>
      </w:r>
    </w:p>
    <w:p w:rsidR="0098723E" w:rsidRDefault="0098723E" w:rsidP="0098723E">
      <w:pPr>
        <w:spacing w:line="360" w:lineRule="auto"/>
        <w:rPr>
          <w:b/>
          <w:bCs/>
        </w:rPr>
      </w:pPr>
    </w:p>
    <w:p w:rsidR="0098723E" w:rsidRDefault="0098723E" w:rsidP="0098723E">
      <w:pPr>
        <w:spacing w:line="360" w:lineRule="auto"/>
        <w:rPr>
          <w:b/>
          <w:bCs/>
        </w:rPr>
      </w:pPr>
    </w:p>
    <w:p w:rsidR="0098723E" w:rsidRPr="0098723E" w:rsidRDefault="0098723E" w:rsidP="0098723E">
      <w:pPr>
        <w:spacing w:line="360" w:lineRule="auto"/>
        <w:rPr>
          <w:b/>
          <w:bCs/>
        </w:rPr>
      </w:pPr>
      <w:r w:rsidRPr="0098723E">
        <w:rPr>
          <w:b/>
          <w:bCs/>
        </w:rPr>
        <w:t>1. Introduction</w:t>
      </w:r>
    </w:p>
    <w:p w:rsidR="0098723E" w:rsidRPr="0098723E" w:rsidRDefault="0098723E" w:rsidP="0098723E">
      <w:pPr>
        <w:spacing w:line="360" w:lineRule="auto"/>
      </w:pPr>
      <w:r w:rsidRPr="0098723E">
        <w:t>Demographic shifts worldwide have resulted in an unprecedented increase in the population of older adults, making the concept of "successful aging" a critical public health priority [1]. Historically, aging was measured primarily by the absence of disease, but contemporary gerontology recognizes this definition as insufficient [2]. Modern constructs embrace a holistic view that integrates physical, cognitive, and social functionality, aiming not merely for longevity but for a high quality of life in the later years [3]. This paper aims to provide a comprehensive review of the key models of successful aging and the evidence-based factors that promote it.</w:t>
      </w:r>
    </w:p>
    <w:p w:rsidR="0098723E" w:rsidRPr="0098723E" w:rsidRDefault="0098723E" w:rsidP="0098723E">
      <w:pPr>
        <w:spacing w:line="360" w:lineRule="auto"/>
        <w:rPr>
          <w:b/>
          <w:bCs/>
        </w:rPr>
      </w:pPr>
      <w:r w:rsidRPr="0098723E">
        <w:rPr>
          <w:b/>
          <w:bCs/>
        </w:rPr>
        <w:t>2. Key Models of Successful Aging</w:t>
      </w:r>
    </w:p>
    <w:p w:rsidR="0098723E" w:rsidRPr="0098723E" w:rsidRDefault="0098723E" w:rsidP="0098723E">
      <w:pPr>
        <w:spacing w:line="360" w:lineRule="auto"/>
      </w:pPr>
      <w:r w:rsidRPr="0098723E">
        <w:t>While several models exist, the most widely referenced framework is the one proposed by Rowe and Kahn [4]. They defined successful aging as encompassing three core components:</w:t>
      </w:r>
    </w:p>
    <w:p w:rsidR="0098723E" w:rsidRPr="0098723E" w:rsidRDefault="0098723E" w:rsidP="0098723E">
      <w:pPr>
        <w:numPr>
          <w:ilvl w:val="0"/>
          <w:numId w:val="2"/>
        </w:numPr>
        <w:spacing w:line="360" w:lineRule="auto"/>
      </w:pPr>
      <w:r w:rsidRPr="0098723E">
        <w:rPr>
          <w:b/>
          <w:bCs/>
        </w:rPr>
        <w:t>Low probability of disease and disease-related disability:</w:t>
      </w:r>
      <w:r w:rsidRPr="0098723E">
        <w:t xml:space="preserve"> This involves minimizing risk factors for chronic illnesses and effectively managing existing conditions.</w:t>
      </w:r>
    </w:p>
    <w:p w:rsidR="0098723E" w:rsidRPr="0098723E" w:rsidRDefault="0098723E" w:rsidP="0098723E">
      <w:pPr>
        <w:numPr>
          <w:ilvl w:val="0"/>
          <w:numId w:val="2"/>
        </w:numPr>
        <w:spacing w:line="360" w:lineRule="auto"/>
      </w:pPr>
      <w:r w:rsidRPr="0098723E">
        <w:rPr>
          <w:b/>
          <w:bCs/>
        </w:rPr>
        <w:t>High cognitive and physical functional capacity:</w:t>
      </w:r>
      <w:r w:rsidRPr="0098723E">
        <w:t xml:space="preserve"> This refers to the maintenance of functional abilities that enable independence and an active life.</w:t>
      </w:r>
    </w:p>
    <w:p w:rsidR="0098723E" w:rsidRPr="0098723E" w:rsidRDefault="0098723E" w:rsidP="0098723E">
      <w:pPr>
        <w:numPr>
          <w:ilvl w:val="0"/>
          <w:numId w:val="2"/>
        </w:numPr>
        <w:spacing w:line="360" w:lineRule="auto"/>
      </w:pPr>
      <w:r w:rsidRPr="0098723E">
        <w:rPr>
          <w:b/>
          <w:bCs/>
        </w:rPr>
        <w:t>Active engagement with life:</w:t>
      </w:r>
      <w:r w:rsidRPr="0098723E">
        <w:t xml:space="preserve"> This includes sustained interpersonal relationships and productive activities, whether paid or voluntary.</w:t>
      </w:r>
    </w:p>
    <w:p w:rsidR="0098723E" w:rsidRPr="0098723E" w:rsidRDefault="0098723E" w:rsidP="0098723E">
      <w:pPr>
        <w:spacing w:line="360" w:lineRule="auto"/>
      </w:pPr>
      <w:r w:rsidRPr="0098723E">
        <w:t>This model has been foundational, though subsequent scholars have critiqued and expanded it to include elements like subjective life satisfaction and psychological resilience [5].</w:t>
      </w:r>
    </w:p>
    <w:p w:rsidR="0098723E" w:rsidRPr="0098723E" w:rsidRDefault="0098723E" w:rsidP="0098723E">
      <w:pPr>
        <w:spacing w:line="360" w:lineRule="auto"/>
        <w:rPr>
          <w:b/>
          <w:bCs/>
        </w:rPr>
      </w:pPr>
      <w:r w:rsidRPr="0098723E">
        <w:rPr>
          <w:b/>
          <w:bCs/>
        </w:rPr>
        <w:t>3. Contributing Factors to Successful Aging</w:t>
      </w:r>
    </w:p>
    <w:p w:rsidR="0098723E" w:rsidRPr="0098723E" w:rsidRDefault="0098723E" w:rsidP="0098723E">
      <w:pPr>
        <w:spacing w:line="360" w:lineRule="auto"/>
      </w:pPr>
      <w:r w:rsidRPr="0098723E">
        <w:rPr>
          <w:b/>
          <w:bCs/>
        </w:rPr>
        <w:t>3.1. Biological and Lifestyle Factors</w:t>
      </w:r>
      <w:r w:rsidRPr="0098723E">
        <w:br/>
        <w:t>A combination of genetics and modifiable behaviors determines the trajectory of aging. While genetic predisposition plays a role, lifestyle choices are profoundly influential [6].</w:t>
      </w:r>
    </w:p>
    <w:p w:rsidR="0098723E" w:rsidRDefault="0098723E" w:rsidP="0098723E">
      <w:pPr>
        <w:spacing w:line="360" w:lineRule="auto"/>
      </w:pPr>
    </w:p>
    <w:p w:rsidR="0098723E" w:rsidRDefault="0098723E" w:rsidP="0098723E">
      <w:pPr>
        <w:spacing w:line="360" w:lineRule="auto"/>
      </w:pPr>
    </w:p>
    <w:p w:rsidR="0098723E" w:rsidRPr="0098723E" w:rsidRDefault="0098723E" w:rsidP="0098723E">
      <w:pPr>
        <w:spacing w:line="360" w:lineRule="auto"/>
      </w:pPr>
    </w:p>
    <w:p w:rsidR="0098723E" w:rsidRPr="0098723E" w:rsidRDefault="0098723E" w:rsidP="0098723E">
      <w:pPr>
        <w:spacing w:line="360" w:lineRule="auto"/>
        <w:ind w:left="360"/>
      </w:pPr>
      <w:r w:rsidRPr="0098723E">
        <w:rPr>
          <w:b/>
          <w:bCs/>
        </w:rPr>
        <w:t>Nutrition:</w:t>
      </w:r>
      <w:r w:rsidRPr="0098723E">
        <w:t xml:space="preserve"> Diets such as the Mediterranean diet, rich in antioxidants, healthy fats, and anti-inflammatory compounds, are strongly associated with reduced risk of cardiovascular disease, cognitive decline, and increased longevity [7].</w:t>
      </w:r>
    </w:p>
    <w:p w:rsidR="0098723E" w:rsidRPr="0098723E" w:rsidRDefault="0098723E" w:rsidP="0098723E">
      <w:pPr>
        <w:numPr>
          <w:ilvl w:val="0"/>
          <w:numId w:val="3"/>
        </w:numPr>
        <w:spacing w:line="360" w:lineRule="auto"/>
      </w:pPr>
      <w:r w:rsidRPr="0098723E">
        <w:rPr>
          <w:b/>
          <w:bCs/>
        </w:rPr>
        <w:t>Physical Exercise:</w:t>
      </w:r>
      <w:r w:rsidRPr="0098723E">
        <w:t xml:space="preserve"> Regular physical activity, including aerobic and resistance training, is paramount for maintaining muscle mass (preventing </w:t>
      </w:r>
      <w:proofErr w:type="spellStart"/>
      <w:r w:rsidRPr="0098723E">
        <w:t>sarcopenia</w:t>
      </w:r>
      <w:proofErr w:type="spellEnd"/>
      <w:r w:rsidRPr="0098723E">
        <w:t>), bone density, cognitive function, and overall mental health [8].</w:t>
      </w:r>
    </w:p>
    <w:p w:rsidR="0098723E" w:rsidRPr="0098723E" w:rsidRDefault="0098723E" w:rsidP="0098723E">
      <w:pPr>
        <w:numPr>
          <w:ilvl w:val="0"/>
          <w:numId w:val="3"/>
        </w:numPr>
        <w:spacing w:line="360" w:lineRule="auto"/>
      </w:pPr>
      <w:r w:rsidRPr="0098723E">
        <w:rPr>
          <w:b/>
          <w:bCs/>
        </w:rPr>
        <w:t>Lifelong Learning and Cognitive Engagement:</w:t>
      </w:r>
      <w:r w:rsidRPr="0098723E">
        <w:t xml:space="preserve"> Continual mental stimulation through education, hobbies, problem-solving activities, and social interaction helps build cognitive reserve, potentially delaying the onset of neurodegenerative diseases [9].</w:t>
      </w:r>
    </w:p>
    <w:p w:rsidR="0098723E" w:rsidRPr="0098723E" w:rsidRDefault="0098723E" w:rsidP="0098723E">
      <w:pPr>
        <w:spacing w:line="360" w:lineRule="auto"/>
      </w:pPr>
      <w:r w:rsidRPr="0098723E">
        <w:rPr>
          <w:b/>
          <w:bCs/>
        </w:rPr>
        <w:t>3.2. Psychosocial Factors</w:t>
      </w:r>
      <w:r w:rsidRPr="0098723E">
        <w:br/>
        <w:t>Psychological and social well-being are equally critical components of aging successfully.</w:t>
      </w:r>
    </w:p>
    <w:p w:rsidR="0098723E" w:rsidRPr="0098723E" w:rsidRDefault="0098723E" w:rsidP="0098723E">
      <w:pPr>
        <w:numPr>
          <w:ilvl w:val="0"/>
          <w:numId w:val="4"/>
        </w:numPr>
        <w:spacing w:line="360" w:lineRule="auto"/>
      </w:pPr>
      <w:r w:rsidRPr="0098723E">
        <w:rPr>
          <w:b/>
          <w:bCs/>
        </w:rPr>
        <w:t>Social Networks and Support:</w:t>
      </w:r>
      <w:r w:rsidRPr="0098723E">
        <w:t xml:space="preserve"> Strong social connections and a reliable support system buffer against stress, depression, and mortality. Active engagement with family, friends, and the community fosters a sense of belonging and purpose [10].</w:t>
      </w:r>
    </w:p>
    <w:p w:rsidR="0098723E" w:rsidRPr="0098723E" w:rsidRDefault="0098723E" w:rsidP="0098723E">
      <w:pPr>
        <w:numPr>
          <w:ilvl w:val="0"/>
          <w:numId w:val="4"/>
        </w:numPr>
        <w:spacing w:line="360" w:lineRule="auto"/>
      </w:pPr>
      <w:r w:rsidRPr="0098723E">
        <w:rPr>
          <w:b/>
          <w:bCs/>
        </w:rPr>
        <w:t>Resilience and a Positive Mindset:</w:t>
      </w:r>
      <w:r w:rsidRPr="0098723E">
        <w:t xml:space="preserve"> The ability to adapt to adversity, find meaning in later life, and maintain an optimistic outlook is strongly linked to higher life satisfaction and better psychological health among the elderly [5].</w:t>
      </w:r>
    </w:p>
    <w:p w:rsidR="0098723E" w:rsidRPr="0098723E" w:rsidRDefault="0098723E" w:rsidP="0098723E">
      <w:pPr>
        <w:numPr>
          <w:ilvl w:val="0"/>
          <w:numId w:val="4"/>
        </w:numPr>
        <w:spacing w:line="360" w:lineRule="auto"/>
      </w:pPr>
      <w:r w:rsidRPr="0098723E">
        <w:rPr>
          <w:b/>
          <w:bCs/>
        </w:rPr>
        <w:t>Psychological Well-being:</w:t>
      </w:r>
      <w:r w:rsidRPr="0098723E">
        <w:t xml:space="preserve"> This encompasses self-acceptance, autonomy, and a sense of continued personal growth, all of which contribute significantly to a positive aging experience [11].</w:t>
      </w:r>
    </w:p>
    <w:p w:rsidR="0098723E" w:rsidRPr="0098723E" w:rsidRDefault="0098723E" w:rsidP="0098723E">
      <w:pPr>
        <w:spacing w:line="360" w:lineRule="auto"/>
        <w:rPr>
          <w:b/>
          <w:bCs/>
        </w:rPr>
      </w:pPr>
      <w:r w:rsidRPr="0098723E">
        <w:rPr>
          <w:b/>
          <w:bCs/>
        </w:rPr>
        <w:t>4. Discussion and Conclusion</w:t>
      </w:r>
    </w:p>
    <w:p w:rsidR="0098723E" w:rsidRPr="0098723E" w:rsidRDefault="0098723E" w:rsidP="0098723E">
      <w:pPr>
        <w:spacing w:line="360" w:lineRule="auto"/>
      </w:pPr>
      <w:r w:rsidRPr="0098723E">
        <w:t>The evidence synthesized in this review strongly suggests that successful aging is not a passive process but an achievable goal influenced by a confluence of factors. While genetics set the stage, modifiable lifestyle choices—including a healthy diet, regular exercise, and cognitive engagement—are powerful determinants of health and functionality. Furthermore, psychosocial elements like robust social networks, resilience, and a positive mindset are indispensable for psychological well-being.</w:t>
      </w:r>
    </w:p>
    <w:p w:rsidR="0098723E" w:rsidRDefault="0098723E" w:rsidP="0098723E">
      <w:pPr>
        <w:spacing w:line="360" w:lineRule="auto"/>
      </w:pPr>
    </w:p>
    <w:p w:rsidR="0098723E" w:rsidRPr="0098723E" w:rsidRDefault="0098723E" w:rsidP="0098723E">
      <w:pPr>
        <w:spacing w:line="360" w:lineRule="auto"/>
      </w:pPr>
      <w:r w:rsidRPr="0098723E">
        <w:t>This understanding carries significant implications for public health policy and societal attitudes. There is a compelling need for:</w:t>
      </w:r>
    </w:p>
    <w:p w:rsidR="0098723E" w:rsidRPr="0098723E" w:rsidRDefault="0098723E" w:rsidP="0098723E">
      <w:pPr>
        <w:numPr>
          <w:ilvl w:val="0"/>
          <w:numId w:val="5"/>
        </w:numPr>
        <w:spacing w:line="360" w:lineRule="auto"/>
      </w:pPr>
      <w:r w:rsidRPr="0098723E">
        <w:rPr>
          <w:b/>
          <w:bCs/>
        </w:rPr>
        <w:t>Public Health Initiatives:</w:t>
      </w:r>
      <w:r w:rsidRPr="0098723E">
        <w:t xml:space="preserve"> Community-based programs that promote physical activity, nutritional education, and chronic disease management are essential.</w:t>
      </w:r>
    </w:p>
    <w:p w:rsidR="0098723E" w:rsidRPr="0098723E" w:rsidRDefault="0098723E" w:rsidP="0098723E">
      <w:pPr>
        <w:numPr>
          <w:ilvl w:val="0"/>
          <w:numId w:val="5"/>
        </w:numPr>
        <w:spacing w:line="360" w:lineRule="auto"/>
      </w:pPr>
      <w:r w:rsidRPr="0098723E">
        <w:rPr>
          <w:b/>
          <w:bCs/>
        </w:rPr>
        <w:t>Educational Empowerment:</w:t>
      </w:r>
      <w:r w:rsidRPr="0098723E">
        <w:t xml:space="preserve"> Providing individuals with the knowledge and tools to make informed health decisions across their lifespan can foster proactive engagement in their own aging process.</w:t>
      </w:r>
    </w:p>
    <w:p w:rsidR="0098723E" w:rsidRPr="0098723E" w:rsidRDefault="0098723E" w:rsidP="0098723E">
      <w:pPr>
        <w:numPr>
          <w:ilvl w:val="0"/>
          <w:numId w:val="5"/>
        </w:numPr>
        <w:spacing w:line="360" w:lineRule="auto"/>
      </w:pPr>
      <w:r w:rsidRPr="0098723E">
        <w:rPr>
          <w:b/>
          <w:bCs/>
        </w:rPr>
        <w:t>Combating Ageism:</w:t>
      </w:r>
      <w:r w:rsidRPr="0098723E">
        <w:t xml:space="preserve"> Societal efforts must focus on reducing age-based discrimination, creating inclusive environments, and valuing the contributions of older adults.</w:t>
      </w:r>
    </w:p>
    <w:p w:rsidR="0098723E" w:rsidRPr="0098723E" w:rsidRDefault="0098723E" w:rsidP="0098723E">
      <w:pPr>
        <w:spacing w:line="360" w:lineRule="auto"/>
      </w:pPr>
      <w:r w:rsidRPr="0098723E">
        <w:t>In conclusion, successful aging is a multi-faceted concept achievable through a blend of individual responsibility and a supportive societal framework. Future efforts should be directed towards interdisciplinary approaches that integrate medical, psychological, and social support to enhance the quality of life for aging populations globally.</w:t>
      </w:r>
    </w:p>
    <w:p w:rsidR="0098723E" w:rsidRPr="0098723E" w:rsidRDefault="0098723E" w:rsidP="0098723E">
      <w:pPr>
        <w:spacing w:line="360" w:lineRule="auto"/>
      </w:pPr>
      <w:r w:rsidRPr="0098723E">
        <w:pict>
          <v:rect id="_x0000_i1026" style="width:0;height:1.5pt" o:hralign="center" o:hrstd="t" o:hr="t" fillcolor="#a0a0a0" stroked="f"/>
        </w:pict>
      </w: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Default="0098723E" w:rsidP="0098723E">
      <w:pPr>
        <w:spacing w:line="360" w:lineRule="auto"/>
        <w:rPr>
          <w:b/>
          <w:bCs/>
        </w:rPr>
      </w:pPr>
    </w:p>
    <w:p w:rsidR="0098723E" w:rsidRPr="0098723E" w:rsidRDefault="0098723E" w:rsidP="0098723E">
      <w:pPr>
        <w:spacing w:line="360" w:lineRule="auto"/>
        <w:rPr>
          <w:b/>
          <w:bCs/>
        </w:rPr>
      </w:pPr>
      <w:r w:rsidRPr="0098723E">
        <w:rPr>
          <w:b/>
          <w:bCs/>
        </w:rPr>
        <w:t>5. References</w:t>
      </w:r>
    </w:p>
    <w:p w:rsidR="0098723E" w:rsidRPr="0098723E" w:rsidRDefault="0098723E" w:rsidP="0098723E">
      <w:pPr>
        <w:spacing w:line="360" w:lineRule="auto"/>
      </w:pPr>
      <w:r w:rsidRPr="0098723E">
        <w:t>[1] United Nations, Department of Economic and Social Affairs, Population Division. World Population Ageing 2019. New York: UN; 2019.</w:t>
      </w:r>
    </w:p>
    <w:p w:rsidR="0098723E" w:rsidRPr="0098723E" w:rsidRDefault="0098723E" w:rsidP="0098723E">
      <w:pPr>
        <w:spacing w:line="360" w:lineRule="auto"/>
      </w:pPr>
      <w:r w:rsidRPr="0098723E">
        <w:t xml:space="preserve">[2] Strawbridge WJ, </w:t>
      </w:r>
      <w:proofErr w:type="spellStart"/>
      <w:r w:rsidRPr="0098723E">
        <w:t>Wallhagen</w:t>
      </w:r>
      <w:proofErr w:type="spellEnd"/>
      <w:r w:rsidRPr="0098723E">
        <w:t xml:space="preserve"> MI, Cohen RD. Successful aging and well-being: self-rated compared with Rowe and Kahn. Gerontologist. 2002;42(6):727-733.</w:t>
      </w:r>
    </w:p>
    <w:p w:rsidR="0098723E" w:rsidRPr="0098723E" w:rsidRDefault="0098723E" w:rsidP="0098723E">
      <w:pPr>
        <w:spacing w:line="360" w:lineRule="auto"/>
      </w:pPr>
      <w:r w:rsidRPr="0098723E">
        <w:t xml:space="preserve">[3] Depp CA, </w:t>
      </w:r>
      <w:proofErr w:type="spellStart"/>
      <w:r w:rsidRPr="0098723E">
        <w:t>Jeste</w:t>
      </w:r>
      <w:proofErr w:type="spellEnd"/>
      <w:r w:rsidRPr="0098723E">
        <w:t xml:space="preserve"> DV. Definitions and predictors of successful aging: a comprehensive review of larger quantitative studies. Am J </w:t>
      </w:r>
      <w:proofErr w:type="spellStart"/>
      <w:r w:rsidRPr="0098723E">
        <w:t>Geriatr</w:t>
      </w:r>
      <w:proofErr w:type="spellEnd"/>
      <w:r w:rsidRPr="0098723E">
        <w:t xml:space="preserve"> Psychiatry. 2006;14(1):6-20.</w:t>
      </w:r>
    </w:p>
    <w:p w:rsidR="0098723E" w:rsidRPr="0098723E" w:rsidRDefault="0098723E" w:rsidP="0098723E">
      <w:pPr>
        <w:spacing w:line="360" w:lineRule="auto"/>
      </w:pPr>
      <w:r w:rsidRPr="0098723E">
        <w:t>[4] Rowe JW, Kahn RL. Successful aging. Gerontologist. 1997;37(4):433-440.</w:t>
      </w:r>
    </w:p>
    <w:p w:rsidR="0098723E" w:rsidRPr="0098723E" w:rsidRDefault="0098723E" w:rsidP="0098723E">
      <w:pPr>
        <w:spacing w:line="360" w:lineRule="auto"/>
      </w:pPr>
      <w:r w:rsidRPr="0098723E">
        <w:t xml:space="preserve">[5] </w:t>
      </w:r>
      <w:proofErr w:type="spellStart"/>
      <w:r w:rsidRPr="0098723E">
        <w:t>Cosco</w:t>
      </w:r>
      <w:proofErr w:type="spellEnd"/>
      <w:r w:rsidRPr="0098723E">
        <w:t xml:space="preserve"> TD, </w:t>
      </w:r>
      <w:proofErr w:type="spellStart"/>
      <w:r w:rsidRPr="0098723E">
        <w:t>Prina</w:t>
      </w:r>
      <w:proofErr w:type="spellEnd"/>
      <w:r w:rsidRPr="0098723E">
        <w:t xml:space="preserve"> AM, Perales J, Stephan BCM, </w:t>
      </w:r>
      <w:proofErr w:type="spellStart"/>
      <w:r w:rsidRPr="0098723E">
        <w:t>Brayne</w:t>
      </w:r>
      <w:proofErr w:type="spellEnd"/>
      <w:r w:rsidRPr="0098723E">
        <w:t xml:space="preserve"> C. Operational definitions of successful aging: a systematic review. </w:t>
      </w:r>
      <w:proofErr w:type="spellStart"/>
      <w:r w:rsidRPr="0098723E">
        <w:t>Int</w:t>
      </w:r>
      <w:proofErr w:type="spellEnd"/>
      <w:r w:rsidRPr="0098723E">
        <w:t xml:space="preserve"> </w:t>
      </w:r>
      <w:proofErr w:type="spellStart"/>
      <w:r w:rsidRPr="0098723E">
        <w:t>Psychogeriatr</w:t>
      </w:r>
      <w:proofErr w:type="spellEnd"/>
      <w:r w:rsidRPr="0098723E">
        <w:t>. 2014;26(3):373-381.</w:t>
      </w:r>
    </w:p>
    <w:p w:rsidR="0098723E" w:rsidRPr="0098723E" w:rsidRDefault="0098723E" w:rsidP="0098723E">
      <w:pPr>
        <w:spacing w:line="360" w:lineRule="auto"/>
      </w:pPr>
      <w:r w:rsidRPr="0098723E">
        <w:t xml:space="preserve">[6] </w:t>
      </w:r>
      <w:proofErr w:type="spellStart"/>
      <w:r w:rsidRPr="0098723E">
        <w:t>Herskind</w:t>
      </w:r>
      <w:proofErr w:type="spellEnd"/>
      <w:r w:rsidRPr="0098723E">
        <w:t xml:space="preserve"> AM, </w:t>
      </w:r>
      <w:proofErr w:type="spellStart"/>
      <w:r w:rsidRPr="0098723E">
        <w:t>McGue</w:t>
      </w:r>
      <w:proofErr w:type="spellEnd"/>
      <w:r w:rsidRPr="0098723E">
        <w:t xml:space="preserve"> M, Holm NV, </w:t>
      </w:r>
      <w:proofErr w:type="spellStart"/>
      <w:r w:rsidRPr="0098723E">
        <w:t>Sørensen</w:t>
      </w:r>
      <w:proofErr w:type="spellEnd"/>
      <w:r w:rsidRPr="0098723E">
        <w:t xml:space="preserve"> TI, </w:t>
      </w:r>
      <w:proofErr w:type="spellStart"/>
      <w:r w:rsidRPr="0098723E">
        <w:t>Harvald</w:t>
      </w:r>
      <w:proofErr w:type="spellEnd"/>
      <w:r w:rsidRPr="0098723E">
        <w:t xml:space="preserve"> B, </w:t>
      </w:r>
      <w:proofErr w:type="spellStart"/>
      <w:r w:rsidRPr="0098723E">
        <w:t>Vaupel</w:t>
      </w:r>
      <w:proofErr w:type="spellEnd"/>
      <w:r w:rsidRPr="0098723E">
        <w:t xml:space="preserve"> JW. The heritability of human longevity: a population-based study of 2872 Danish twin pairs born 1870-1900. Hum Genet. 1996;97(3):319-323.</w:t>
      </w:r>
    </w:p>
    <w:p w:rsidR="0098723E" w:rsidRPr="0098723E" w:rsidRDefault="0098723E" w:rsidP="0098723E">
      <w:pPr>
        <w:spacing w:line="360" w:lineRule="auto"/>
      </w:pPr>
      <w:r w:rsidRPr="0098723E">
        <w:t xml:space="preserve">[7] </w:t>
      </w:r>
      <w:proofErr w:type="spellStart"/>
      <w:r w:rsidRPr="0098723E">
        <w:t>Trichopoulou</w:t>
      </w:r>
      <w:proofErr w:type="spellEnd"/>
      <w:r w:rsidRPr="0098723E">
        <w:t xml:space="preserve"> A, </w:t>
      </w:r>
      <w:proofErr w:type="spellStart"/>
      <w:r w:rsidRPr="0098723E">
        <w:t>Costacou</w:t>
      </w:r>
      <w:proofErr w:type="spellEnd"/>
      <w:r w:rsidRPr="0098723E">
        <w:t xml:space="preserve"> T, </w:t>
      </w:r>
      <w:proofErr w:type="spellStart"/>
      <w:r w:rsidRPr="0098723E">
        <w:t>Bamia</w:t>
      </w:r>
      <w:proofErr w:type="spellEnd"/>
      <w:r w:rsidRPr="0098723E">
        <w:t xml:space="preserve"> C, </w:t>
      </w:r>
      <w:proofErr w:type="spellStart"/>
      <w:r w:rsidRPr="0098723E">
        <w:t>Trichopoulos</w:t>
      </w:r>
      <w:proofErr w:type="spellEnd"/>
      <w:r w:rsidRPr="0098723E">
        <w:t xml:space="preserve"> D. Adherence to a Mediterranean diet and survival in a Greek population. N </w:t>
      </w:r>
      <w:proofErr w:type="spellStart"/>
      <w:r w:rsidRPr="0098723E">
        <w:t>Engl</w:t>
      </w:r>
      <w:proofErr w:type="spellEnd"/>
      <w:r w:rsidRPr="0098723E">
        <w:t xml:space="preserve"> J Med. 2003;348(26):2599-2608.</w:t>
      </w:r>
    </w:p>
    <w:p w:rsidR="0098723E" w:rsidRPr="0098723E" w:rsidRDefault="0098723E" w:rsidP="0098723E">
      <w:pPr>
        <w:spacing w:line="360" w:lineRule="auto"/>
      </w:pPr>
      <w:r w:rsidRPr="0098723E">
        <w:t xml:space="preserve">[8] Paterson DH, Warburton DER. Physical activity and functional limitations in older adults: a systematic review related to Canada's Physical Activity Guidelines. </w:t>
      </w:r>
      <w:proofErr w:type="spellStart"/>
      <w:r w:rsidRPr="0098723E">
        <w:t>Int</w:t>
      </w:r>
      <w:proofErr w:type="spellEnd"/>
      <w:r w:rsidRPr="0098723E">
        <w:t xml:space="preserve"> J </w:t>
      </w:r>
      <w:proofErr w:type="spellStart"/>
      <w:r w:rsidRPr="0098723E">
        <w:t>Behav</w:t>
      </w:r>
      <w:proofErr w:type="spellEnd"/>
      <w:r w:rsidRPr="0098723E">
        <w:t xml:space="preserve"> </w:t>
      </w:r>
      <w:proofErr w:type="spellStart"/>
      <w:r w:rsidRPr="0098723E">
        <w:t>Nutr</w:t>
      </w:r>
      <w:proofErr w:type="spellEnd"/>
      <w:r w:rsidRPr="0098723E">
        <w:t xml:space="preserve"> </w:t>
      </w:r>
      <w:proofErr w:type="spellStart"/>
      <w:r w:rsidRPr="0098723E">
        <w:t>Phys</w:t>
      </w:r>
      <w:proofErr w:type="spellEnd"/>
      <w:r w:rsidRPr="0098723E">
        <w:t xml:space="preserve"> Act. </w:t>
      </w:r>
      <w:proofErr w:type="gramStart"/>
      <w:r w:rsidRPr="0098723E">
        <w:t>2010;7:38</w:t>
      </w:r>
      <w:proofErr w:type="gramEnd"/>
      <w:r w:rsidRPr="0098723E">
        <w:t>.</w:t>
      </w:r>
    </w:p>
    <w:p w:rsidR="0098723E" w:rsidRPr="0098723E" w:rsidRDefault="0098723E" w:rsidP="0098723E">
      <w:pPr>
        <w:spacing w:line="360" w:lineRule="auto"/>
      </w:pPr>
      <w:r w:rsidRPr="0098723E">
        <w:t xml:space="preserve">[9] Valenzuela MJ, </w:t>
      </w:r>
      <w:proofErr w:type="spellStart"/>
      <w:r w:rsidRPr="0098723E">
        <w:t>Sachdev</w:t>
      </w:r>
      <w:proofErr w:type="spellEnd"/>
      <w:r w:rsidRPr="0098723E">
        <w:t xml:space="preserve"> P. Brain reserve and cognitive decline: a non-systematic review of the evidence. </w:t>
      </w:r>
      <w:proofErr w:type="spellStart"/>
      <w:r w:rsidRPr="0098723E">
        <w:t>Aust</w:t>
      </w:r>
      <w:proofErr w:type="spellEnd"/>
      <w:r w:rsidRPr="0098723E">
        <w:t xml:space="preserve"> N Z J Psychiatry. 2006;40(4):355-362.</w:t>
      </w:r>
    </w:p>
    <w:p w:rsidR="0098723E" w:rsidRPr="0098723E" w:rsidRDefault="0098723E" w:rsidP="0098723E">
      <w:pPr>
        <w:spacing w:line="360" w:lineRule="auto"/>
      </w:pPr>
      <w:r w:rsidRPr="0098723E">
        <w:t>[10] Holt-</w:t>
      </w:r>
      <w:proofErr w:type="spellStart"/>
      <w:r w:rsidRPr="0098723E">
        <w:t>Lunstad</w:t>
      </w:r>
      <w:proofErr w:type="spellEnd"/>
      <w:r w:rsidRPr="0098723E">
        <w:t xml:space="preserve"> J, Smith TB, Layton JB. Social relationships and mortality risk: a meta-analytic review. </w:t>
      </w:r>
      <w:proofErr w:type="spellStart"/>
      <w:r w:rsidRPr="0098723E">
        <w:t>PLoS</w:t>
      </w:r>
      <w:proofErr w:type="spellEnd"/>
      <w:r w:rsidRPr="0098723E">
        <w:t xml:space="preserve"> Med. 2010;7(7</w:t>
      </w:r>
      <w:proofErr w:type="gramStart"/>
      <w:r w:rsidRPr="0098723E">
        <w:t>):e</w:t>
      </w:r>
      <w:proofErr w:type="gramEnd"/>
      <w:r w:rsidRPr="0098723E">
        <w:t>1000316.</w:t>
      </w:r>
    </w:p>
    <w:p w:rsidR="00416FF7" w:rsidRPr="00416FF7" w:rsidRDefault="0098723E" w:rsidP="0098723E">
      <w:pPr>
        <w:spacing w:line="360" w:lineRule="auto"/>
      </w:pPr>
      <w:r w:rsidRPr="0098723E">
        <w:t xml:space="preserve">[11] </w:t>
      </w:r>
      <w:proofErr w:type="spellStart"/>
      <w:r w:rsidRPr="0098723E">
        <w:t>Ryff</w:t>
      </w:r>
      <w:proofErr w:type="spellEnd"/>
      <w:r w:rsidRPr="0098723E">
        <w:t xml:space="preserve"> CD. Psychological well-being revisited: advances in the science and practice of </w:t>
      </w:r>
      <w:proofErr w:type="spellStart"/>
      <w:r w:rsidRPr="0098723E">
        <w:t>eudaimonia</w:t>
      </w:r>
      <w:proofErr w:type="spellEnd"/>
      <w:r w:rsidRPr="0098723E">
        <w:t xml:space="preserve">. </w:t>
      </w:r>
      <w:proofErr w:type="spellStart"/>
      <w:r w:rsidRPr="0098723E">
        <w:t>Psychother</w:t>
      </w:r>
      <w:proofErr w:type="spellEnd"/>
      <w:r w:rsidRPr="0098723E">
        <w:t xml:space="preserve"> </w:t>
      </w:r>
      <w:proofErr w:type="spellStart"/>
      <w:r w:rsidRPr="0098723E">
        <w:t>Psychosom</w:t>
      </w:r>
      <w:proofErr w:type="spellEnd"/>
      <w:r w:rsidRPr="0098723E">
        <w:t>. 2014;83(1):10-28.</w:t>
      </w:r>
      <w:bookmarkStart w:id="0" w:name="_GoBack"/>
      <w:bookmarkEnd w:id="0"/>
    </w:p>
    <w:p w:rsidR="00E11DC5" w:rsidRDefault="00E11DC5"/>
    <w:sectPr w:rsidR="00E11DC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C10" w:rsidRDefault="003A3C10" w:rsidP="003A4742">
      <w:pPr>
        <w:spacing w:after="0" w:line="240" w:lineRule="auto"/>
      </w:pPr>
      <w:r>
        <w:separator/>
      </w:r>
    </w:p>
  </w:endnote>
  <w:endnote w:type="continuationSeparator" w:id="0">
    <w:p w:rsidR="003A3C10" w:rsidRDefault="003A3C10" w:rsidP="003A4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C10" w:rsidRDefault="003A3C10" w:rsidP="003A4742">
      <w:pPr>
        <w:spacing w:after="0" w:line="240" w:lineRule="auto"/>
      </w:pPr>
      <w:r>
        <w:separator/>
      </w:r>
    </w:p>
  </w:footnote>
  <w:footnote w:type="continuationSeparator" w:id="0">
    <w:p w:rsidR="003A3C10" w:rsidRDefault="003A3C10" w:rsidP="003A4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742" w:rsidRDefault="003A4742">
    <w:pPr>
      <w:pStyle w:val="Header"/>
    </w:pPr>
    <w:r>
      <w:rPr>
        <w:noProof/>
      </w:rPr>
      <w:drawing>
        <wp:inline distT="0" distB="0" distL="0" distR="0" wp14:anchorId="16CFA5FD">
          <wp:extent cx="5029835" cy="792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983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92209"/>
    <w:multiLevelType w:val="multilevel"/>
    <w:tmpl w:val="D0A6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C85F62"/>
    <w:multiLevelType w:val="multilevel"/>
    <w:tmpl w:val="F6EC3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6F04D6"/>
    <w:multiLevelType w:val="multilevel"/>
    <w:tmpl w:val="6E869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5B035B"/>
    <w:multiLevelType w:val="multilevel"/>
    <w:tmpl w:val="D1E2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B21D61"/>
    <w:multiLevelType w:val="multilevel"/>
    <w:tmpl w:val="9B907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FF7"/>
    <w:rsid w:val="003A3C10"/>
    <w:rsid w:val="003A4742"/>
    <w:rsid w:val="00416FF7"/>
    <w:rsid w:val="00810B03"/>
    <w:rsid w:val="0098723E"/>
    <w:rsid w:val="00E11D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F75AF"/>
  <w15:chartTrackingRefBased/>
  <w15:docId w15:val="{B9B6B734-B1E2-4827-8E76-752C1820A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6FF7"/>
    <w:rPr>
      <w:color w:val="0563C1" w:themeColor="hyperlink"/>
      <w:u w:val="single"/>
    </w:rPr>
  </w:style>
  <w:style w:type="paragraph" w:styleId="Header">
    <w:name w:val="header"/>
    <w:basedOn w:val="Normal"/>
    <w:link w:val="HeaderChar"/>
    <w:uiPriority w:val="99"/>
    <w:unhideWhenUsed/>
    <w:rsid w:val="003A47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42"/>
  </w:style>
  <w:style w:type="paragraph" w:styleId="Footer">
    <w:name w:val="footer"/>
    <w:basedOn w:val="Normal"/>
    <w:link w:val="FooterChar"/>
    <w:uiPriority w:val="99"/>
    <w:unhideWhenUsed/>
    <w:rsid w:val="003A47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61868">
      <w:bodyDiv w:val="1"/>
      <w:marLeft w:val="0"/>
      <w:marRight w:val="0"/>
      <w:marTop w:val="0"/>
      <w:marBottom w:val="0"/>
      <w:divBdr>
        <w:top w:val="none" w:sz="0" w:space="0" w:color="auto"/>
        <w:left w:val="none" w:sz="0" w:space="0" w:color="auto"/>
        <w:bottom w:val="none" w:sz="0" w:space="0" w:color="auto"/>
        <w:right w:val="none" w:sz="0" w:space="0" w:color="auto"/>
      </w:divBdr>
    </w:div>
    <w:div w:id="1065682345">
      <w:bodyDiv w:val="1"/>
      <w:marLeft w:val="0"/>
      <w:marRight w:val="0"/>
      <w:marTop w:val="0"/>
      <w:marBottom w:val="0"/>
      <w:divBdr>
        <w:top w:val="none" w:sz="0" w:space="0" w:color="auto"/>
        <w:left w:val="none" w:sz="0" w:space="0" w:color="auto"/>
        <w:bottom w:val="none" w:sz="0" w:space="0" w:color="auto"/>
        <w:right w:val="none" w:sz="0" w:space="0" w:color="auto"/>
      </w:divBdr>
    </w:div>
    <w:div w:id="14143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2025-09-20T18:50:00Z</dcterms:created>
  <dcterms:modified xsi:type="dcterms:W3CDTF">2025-09-22T08:38:00Z</dcterms:modified>
</cp:coreProperties>
</file>