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B92" w:rsidRPr="00536B92" w:rsidRDefault="00536B92" w:rsidP="00F25244">
      <w:pPr>
        <w:spacing w:after="134" w:line="259" w:lineRule="auto"/>
        <w:ind w:left="-4" w:right="0" w:hanging="10"/>
        <w:rPr>
          <w:rFonts w:asciiTheme="majorBidi" w:hAnsiTheme="majorBidi" w:cstheme="majorBidi"/>
          <w:b/>
          <w:bCs/>
          <w:color w:val="auto"/>
          <w:sz w:val="20"/>
          <w:szCs w:val="20"/>
        </w:rPr>
      </w:pPr>
    </w:p>
    <w:p w:rsidR="00536B92" w:rsidRPr="00A76678" w:rsidRDefault="00860896" w:rsidP="00F25244">
      <w:pPr>
        <w:spacing w:after="134" w:line="259" w:lineRule="auto"/>
        <w:ind w:left="-4" w:right="0" w:hanging="10"/>
        <w:rPr>
          <w:rFonts w:asciiTheme="majorBidi" w:hAnsiTheme="majorBidi" w:cstheme="majorBidi"/>
          <w:b/>
          <w:bCs/>
          <w:color w:val="auto"/>
          <w:sz w:val="28"/>
          <w:szCs w:val="28"/>
        </w:rPr>
      </w:pPr>
      <w:r w:rsidRPr="00A76678">
        <w:rPr>
          <w:rFonts w:asciiTheme="majorBidi" w:hAnsiTheme="majorBidi" w:cstheme="majorBidi"/>
          <w:b/>
          <w:bCs/>
          <w:color w:val="auto"/>
          <w:sz w:val="28"/>
          <w:szCs w:val="28"/>
        </w:rPr>
        <w:t xml:space="preserve">Coronavirus disease 2019 and its impact on the cognition of older adults: </w:t>
      </w:r>
      <w:r w:rsidR="00F25244" w:rsidRPr="00A76678">
        <w:rPr>
          <w:rFonts w:asciiTheme="majorBidi" w:hAnsiTheme="majorBidi" w:cstheme="majorBidi"/>
          <w:b/>
          <w:bCs/>
          <w:color w:val="auto"/>
          <w:sz w:val="28"/>
          <w:szCs w:val="28"/>
        </w:rPr>
        <w:t>Unraveling the role of inflammation</w:t>
      </w:r>
    </w:p>
    <w:p w:rsidR="00536B92" w:rsidRPr="00536B92" w:rsidRDefault="00F25244" w:rsidP="00536B92">
      <w:pPr>
        <w:spacing w:after="134" w:line="259" w:lineRule="auto"/>
        <w:ind w:left="-4" w:right="0" w:hanging="10"/>
        <w:rPr>
          <w:rFonts w:asciiTheme="majorBidi" w:hAnsiTheme="majorBidi" w:cstheme="majorBidi"/>
          <w:b/>
          <w:bCs/>
          <w:color w:val="auto"/>
          <w:sz w:val="20"/>
          <w:szCs w:val="20"/>
        </w:rPr>
      </w:pPr>
      <w:r w:rsidRPr="00536B92">
        <w:rPr>
          <w:rFonts w:asciiTheme="majorBidi" w:hAnsiTheme="majorBidi" w:cstheme="majorBidi"/>
          <w:b/>
          <w:bCs/>
          <w:color w:val="auto"/>
          <w:sz w:val="20"/>
          <w:szCs w:val="20"/>
        </w:rPr>
        <w:t xml:space="preserve"> </w:t>
      </w:r>
      <w:r w:rsidR="00536B92" w:rsidRPr="00536B92">
        <w:rPr>
          <w:rFonts w:asciiTheme="majorBidi" w:hAnsiTheme="majorBidi" w:cstheme="majorBidi"/>
          <w:b/>
          <w:bCs/>
          <w:color w:val="auto"/>
          <w:sz w:val="20"/>
          <w:szCs w:val="20"/>
        </w:rPr>
        <w:t xml:space="preserve">1- Nima Farhadi, </w:t>
      </w:r>
      <w:r w:rsidR="00536B92" w:rsidRPr="00A76678">
        <w:rPr>
          <w:rFonts w:asciiTheme="majorBidi" w:hAnsiTheme="majorBidi" w:cstheme="majorBidi"/>
          <w:b/>
          <w:bCs/>
          <w:color w:val="auto"/>
          <w:szCs w:val="16"/>
        </w:rPr>
        <w:t xml:space="preserve">Student Research Committee, Ahvaz Jundishapur University of Medical Sciences, Ahvaz, Iran </w:t>
      </w:r>
    </w:p>
    <w:p w:rsidR="00536B92" w:rsidRPr="00A76678" w:rsidRDefault="00536B92" w:rsidP="00536B92">
      <w:pPr>
        <w:spacing w:after="134" w:line="259" w:lineRule="auto"/>
        <w:ind w:left="-4" w:right="0" w:hanging="10"/>
        <w:rPr>
          <w:rFonts w:asciiTheme="majorBidi" w:hAnsiTheme="majorBidi" w:cstheme="majorBidi"/>
          <w:b/>
          <w:bCs/>
          <w:color w:val="auto"/>
          <w:szCs w:val="16"/>
        </w:rPr>
      </w:pPr>
      <w:r w:rsidRPr="00536B92">
        <w:rPr>
          <w:rFonts w:asciiTheme="majorBidi" w:hAnsiTheme="majorBidi" w:cstheme="majorBidi"/>
          <w:b/>
          <w:bCs/>
          <w:color w:val="auto"/>
          <w:sz w:val="20"/>
          <w:szCs w:val="20"/>
        </w:rPr>
        <w:t xml:space="preserve">2- </w:t>
      </w:r>
      <w:proofErr w:type="spellStart"/>
      <w:r w:rsidRPr="00536B92">
        <w:rPr>
          <w:rFonts w:asciiTheme="majorBidi" w:hAnsiTheme="majorBidi" w:cstheme="majorBidi"/>
          <w:b/>
          <w:bCs/>
          <w:color w:val="auto"/>
          <w:sz w:val="20"/>
          <w:szCs w:val="20"/>
        </w:rPr>
        <w:t>Soroush</w:t>
      </w:r>
      <w:proofErr w:type="spellEnd"/>
      <w:r w:rsidRPr="00536B92">
        <w:rPr>
          <w:rFonts w:asciiTheme="majorBidi" w:hAnsiTheme="majorBidi" w:cstheme="majorBidi"/>
          <w:b/>
          <w:bCs/>
          <w:color w:val="auto"/>
          <w:sz w:val="20"/>
          <w:szCs w:val="20"/>
        </w:rPr>
        <w:t xml:space="preserve"> </w:t>
      </w:r>
      <w:proofErr w:type="spellStart"/>
      <w:r w:rsidRPr="00536B92">
        <w:rPr>
          <w:rFonts w:asciiTheme="majorBidi" w:hAnsiTheme="majorBidi" w:cstheme="majorBidi"/>
          <w:b/>
          <w:bCs/>
          <w:color w:val="auto"/>
          <w:sz w:val="20"/>
          <w:szCs w:val="20"/>
        </w:rPr>
        <w:t>Khorramdel</w:t>
      </w:r>
      <w:proofErr w:type="spellEnd"/>
      <w:r w:rsidRPr="00536B92">
        <w:rPr>
          <w:rFonts w:asciiTheme="majorBidi" w:hAnsiTheme="majorBidi" w:cstheme="majorBidi"/>
          <w:b/>
          <w:bCs/>
          <w:color w:val="auto"/>
          <w:sz w:val="20"/>
          <w:szCs w:val="20"/>
        </w:rPr>
        <w:t xml:space="preserve">, </w:t>
      </w:r>
      <w:r w:rsidRPr="00A76678">
        <w:rPr>
          <w:rFonts w:asciiTheme="majorBidi" w:hAnsiTheme="majorBidi" w:cstheme="majorBidi"/>
          <w:b/>
          <w:bCs/>
          <w:color w:val="auto"/>
          <w:szCs w:val="16"/>
        </w:rPr>
        <w:t xml:space="preserve">Student Research Committee, Ahvaz Jundishapur University of Medical Sciences, Ahvaz, Iran </w:t>
      </w:r>
    </w:p>
    <w:p w:rsidR="00536B92" w:rsidRPr="00A76678" w:rsidRDefault="00536B92" w:rsidP="00536B92">
      <w:pPr>
        <w:spacing w:after="134" w:line="259" w:lineRule="auto"/>
        <w:ind w:left="-4" w:right="0" w:hanging="10"/>
        <w:rPr>
          <w:rFonts w:asciiTheme="majorBidi" w:hAnsiTheme="majorBidi" w:cstheme="majorBidi"/>
          <w:b/>
          <w:bCs/>
          <w:color w:val="auto"/>
          <w:szCs w:val="16"/>
        </w:rPr>
      </w:pPr>
      <w:r w:rsidRPr="00536B92">
        <w:rPr>
          <w:rFonts w:asciiTheme="majorBidi" w:hAnsiTheme="majorBidi" w:cstheme="majorBidi"/>
          <w:b/>
          <w:bCs/>
          <w:color w:val="auto"/>
          <w:sz w:val="20"/>
          <w:szCs w:val="20"/>
        </w:rPr>
        <w:t xml:space="preserve">3- Maryam </w:t>
      </w:r>
      <w:proofErr w:type="spellStart"/>
      <w:r w:rsidRPr="00536B92">
        <w:rPr>
          <w:rFonts w:asciiTheme="majorBidi" w:hAnsiTheme="majorBidi" w:cstheme="majorBidi"/>
          <w:b/>
          <w:bCs/>
          <w:color w:val="auto"/>
          <w:sz w:val="20"/>
          <w:szCs w:val="20"/>
        </w:rPr>
        <w:t>Pourshams</w:t>
      </w:r>
      <w:proofErr w:type="spellEnd"/>
      <w:r w:rsidRPr="00536B92">
        <w:rPr>
          <w:rFonts w:asciiTheme="majorBidi" w:hAnsiTheme="majorBidi" w:cstheme="majorBidi"/>
          <w:b/>
          <w:bCs/>
          <w:color w:val="auto"/>
          <w:sz w:val="20"/>
          <w:szCs w:val="20"/>
        </w:rPr>
        <w:t xml:space="preserve">, </w:t>
      </w:r>
      <w:r w:rsidRPr="00A76678">
        <w:rPr>
          <w:rFonts w:asciiTheme="majorBidi" w:hAnsiTheme="majorBidi" w:cstheme="majorBidi"/>
          <w:b/>
          <w:bCs/>
          <w:color w:val="auto"/>
          <w:szCs w:val="16"/>
        </w:rPr>
        <w:t>Associate Professor of Geriatric Psychology, Department of Psychiatry, School of Medicine, Golestan Hospital, Ahvaz Jundishapur University of Medical Sciences</w:t>
      </w:r>
    </w:p>
    <w:p w:rsidR="00F25244" w:rsidRPr="00536B92" w:rsidRDefault="00F25244" w:rsidP="00F25244">
      <w:pPr>
        <w:spacing w:after="134" w:line="259" w:lineRule="auto"/>
        <w:ind w:left="-4" w:right="0" w:hanging="10"/>
        <w:rPr>
          <w:rFonts w:asciiTheme="majorBidi" w:hAnsiTheme="majorBidi" w:cstheme="majorBidi"/>
          <w:b/>
          <w:bCs/>
          <w:color w:val="auto"/>
          <w:sz w:val="20"/>
          <w:szCs w:val="20"/>
        </w:rPr>
      </w:pPr>
      <w:bookmarkStart w:id="0" w:name="_GoBack"/>
    </w:p>
    <w:bookmarkEnd w:id="0"/>
    <w:p w:rsidR="00F25244" w:rsidRPr="00536B92" w:rsidRDefault="00F25244" w:rsidP="00F25244">
      <w:pPr>
        <w:spacing w:after="134" w:line="259" w:lineRule="auto"/>
        <w:ind w:left="-4" w:right="0" w:hanging="10"/>
        <w:rPr>
          <w:rFonts w:asciiTheme="majorBidi" w:hAnsiTheme="majorBidi" w:cstheme="majorBidi"/>
          <w:b/>
          <w:bCs/>
          <w:color w:val="auto"/>
          <w:sz w:val="20"/>
          <w:szCs w:val="20"/>
        </w:rPr>
      </w:pPr>
      <w:r w:rsidRPr="00536B92">
        <w:rPr>
          <w:rFonts w:asciiTheme="majorBidi" w:hAnsiTheme="majorBidi" w:cstheme="majorBidi"/>
          <w:b/>
          <w:bCs/>
          <w:color w:val="auto"/>
          <w:sz w:val="20"/>
          <w:szCs w:val="20"/>
        </w:rPr>
        <w:t>Abstract:</w:t>
      </w:r>
    </w:p>
    <w:p w:rsidR="00F25244" w:rsidRDefault="00F25244" w:rsidP="00F25244">
      <w:pPr>
        <w:spacing w:after="1" w:line="262" w:lineRule="auto"/>
        <w:ind w:right="0" w:firstLine="0"/>
        <w:rPr>
          <w:rFonts w:asciiTheme="majorBidi" w:hAnsiTheme="majorBidi" w:cstheme="majorBidi"/>
          <w:color w:val="auto"/>
          <w:sz w:val="20"/>
          <w:szCs w:val="20"/>
        </w:rPr>
      </w:pPr>
      <w:r w:rsidRPr="00536B92">
        <w:rPr>
          <w:rFonts w:asciiTheme="majorBidi" w:hAnsiTheme="majorBidi" w:cstheme="majorBidi"/>
          <w:b/>
          <w:bCs/>
          <w:iCs/>
          <w:color w:val="auto"/>
          <w:sz w:val="20"/>
          <w:szCs w:val="20"/>
        </w:rPr>
        <w:t>Background:</w:t>
      </w:r>
      <w:r w:rsidRPr="00536B92">
        <w:rPr>
          <w:rFonts w:asciiTheme="majorBidi" w:hAnsiTheme="majorBidi" w:cstheme="majorBidi"/>
          <w:i/>
          <w:color w:val="auto"/>
          <w:sz w:val="20"/>
          <w:szCs w:val="20"/>
        </w:rPr>
        <w:t xml:space="preserve"> </w:t>
      </w:r>
      <w:r w:rsidRPr="00536B92">
        <w:rPr>
          <w:rFonts w:asciiTheme="majorBidi" w:hAnsiTheme="majorBidi" w:cstheme="majorBidi"/>
          <w:color w:val="auto"/>
          <w:sz w:val="20"/>
          <w:szCs w:val="20"/>
        </w:rPr>
        <w:t xml:space="preserve">The Coronavirus Disease 2019 (COVID-19) pandemic significantly impacted the older adult population globally. This study aimed to investigate cognitive function and its relationship with inflammation in older COVID-19 survivors over a three-month follow-up to address concerns about cognitive impairment and its risk factors. </w:t>
      </w:r>
    </w:p>
    <w:p w:rsidR="00536B92" w:rsidRPr="00536B92" w:rsidRDefault="00536B92" w:rsidP="00F25244">
      <w:pPr>
        <w:spacing w:after="1" w:line="262" w:lineRule="auto"/>
        <w:ind w:right="0" w:firstLine="0"/>
        <w:rPr>
          <w:rFonts w:asciiTheme="majorBidi" w:hAnsiTheme="majorBidi" w:cstheme="majorBidi"/>
          <w:color w:val="auto"/>
          <w:sz w:val="20"/>
          <w:szCs w:val="20"/>
        </w:rPr>
      </w:pPr>
    </w:p>
    <w:p w:rsidR="00F25244" w:rsidRDefault="00F25244" w:rsidP="00F25244">
      <w:pPr>
        <w:spacing w:after="0" w:line="262" w:lineRule="auto"/>
        <w:ind w:right="0" w:firstLine="0"/>
        <w:rPr>
          <w:rFonts w:asciiTheme="majorBidi" w:hAnsiTheme="majorBidi" w:cstheme="majorBidi"/>
          <w:color w:val="auto"/>
          <w:sz w:val="20"/>
          <w:szCs w:val="20"/>
        </w:rPr>
      </w:pPr>
      <w:r w:rsidRPr="00536B92">
        <w:rPr>
          <w:rFonts w:asciiTheme="majorBidi" w:hAnsiTheme="majorBidi" w:cstheme="majorBidi"/>
          <w:b/>
          <w:bCs/>
          <w:iCs/>
          <w:color w:val="auto"/>
          <w:sz w:val="20"/>
          <w:szCs w:val="20"/>
        </w:rPr>
        <w:t>Methods:</w:t>
      </w:r>
      <w:r w:rsidRPr="00536B92">
        <w:rPr>
          <w:rFonts w:asciiTheme="majorBidi" w:hAnsiTheme="majorBidi" w:cstheme="majorBidi"/>
          <w:i/>
          <w:color w:val="auto"/>
          <w:sz w:val="20"/>
          <w:szCs w:val="20"/>
        </w:rPr>
        <w:t xml:space="preserve"> </w:t>
      </w:r>
      <w:r w:rsidRPr="00536B92">
        <w:rPr>
          <w:rFonts w:asciiTheme="majorBidi" w:hAnsiTheme="majorBidi" w:cstheme="majorBidi"/>
          <w:color w:val="auto"/>
          <w:sz w:val="20"/>
          <w:szCs w:val="20"/>
        </w:rPr>
        <w:t xml:space="preserve">In this descriptive-analytical study, 177 hospitalized COVID-19 patients aged </w:t>
      </w:r>
      <w:r w:rsidRPr="00536B92">
        <w:rPr>
          <w:rFonts w:asciiTheme="majorBidi" w:hAnsiTheme="majorBidi" w:cstheme="majorBidi"/>
          <w:i/>
          <w:color w:val="auto"/>
          <w:sz w:val="20"/>
          <w:szCs w:val="20"/>
        </w:rPr>
        <w:t>&gt;</w:t>
      </w:r>
      <w:r w:rsidRPr="00536B92">
        <w:rPr>
          <w:rFonts w:asciiTheme="majorBidi" w:hAnsiTheme="majorBidi" w:cstheme="majorBidi"/>
          <w:color w:val="auto"/>
          <w:sz w:val="20"/>
          <w:szCs w:val="20"/>
        </w:rPr>
        <w:t xml:space="preserve">60 were assessed from July 2021 to February 2022. Psychiatric, global cognitive assessments and activities of daily living were conducted at discharge, 1 month, and 3 months post-discharge. Statistical analyses were conducted using SPSS Version 24. The evolution of cognitive status over time was evaluated using the Repeated Measures Test. The study probed into the association between inflammatory markers and cognitive function through the Pearson correlation test and the Mann–Whitney </w:t>
      </w:r>
      <w:r w:rsidRPr="00536B92">
        <w:rPr>
          <w:rFonts w:asciiTheme="majorBidi" w:hAnsiTheme="majorBidi" w:cstheme="majorBidi"/>
          <w:i/>
          <w:color w:val="auto"/>
          <w:sz w:val="20"/>
          <w:szCs w:val="20"/>
        </w:rPr>
        <w:t xml:space="preserve">U </w:t>
      </w:r>
      <w:r w:rsidRPr="00536B92">
        <w:rPr>
          <w:rFonts w:asciiTheme="majorBidi" w:hAnsiTheme="majorBidi" w:cstheme="majorBidi"/>
          <w:color w:val="auto"/>
          <w:sz w:val="20"/>
          <w:szCs w:val="20"/>
        </w:rPr>
        <w:t xml:space="preserve">test. Additionally, the link between anxiety/depression and cognitive performance was examined using the Pearson correlation. </w:t>
      </w:r>
    </w:p>
    <w:p w:rsidR="00536B92" w:rsidRPr="00536B92" w:rsidRDefault="00536B92" w:rsidP="00F25244">
      <w:pPr>
        <w:spacing w:after="0" w:line="262" w:lineRule="auto"/>
        <w:ind w:right="0" w:firstLine="0"/>
        <w:rPr>
          <w:rFonts w:asciiTheme="majorBidi" w:hAnsiTheme="majorBidi" w:cstheme="majorBidi"/>
          <w:color w:val="auto"/>
          <w:sz w:val="20"/>
          <w:szCs w:val="20"/>
        </w:rPr>
      </w:pPr>
    </w:p>
    <w:p w:rsidR="00F25244" w:rsidRDefault="00F25244" w:rsidP="00F25244">
      <w:pPr>
        <w:spacing w:after="0" w:line="262" w:lineRule="auto"/>
        <w:ind w:right="0" w:firstLine="0"/>
        <w:rPr>
          <w:rFonts w:asciiTheme="majorBidi" w:hAnsiTheme="majorBidi" w:cstheme="majorBidi"/>
          <w:color w:val="auto"/>
          <w:sz w:val="20"/>
          <w:szCs w:val="20"/>
        </w:rPr>
      </w:pPr>
      <w:r w:rsidRPr="00536B92">
        <w:rPr>
          <w:rFonts w:asciiTheme="majorBidi" w:hAnsiTheme="majorBidi" w:cstheme="majorBidi"/>
          <w:b/>
          <w:bCs/>
          <w:iCs/>
          <w:color w:val="auto"/>
          <w:sz w:val="20"/>
          <w:szCs w:val="20"/>
        </w:rPr>
        <w:t>Results:</w:t>
      </w:r>
      <w:r w:rsidRPr="00536B92">
        <w:rPr>
          <w:rFonts w:asciiTheme="majorBidi" w:hAnsiTheme="majorBidi" w:cstheme="majorBidi"/>
          <w:i/>
          <w:color w:val="auto"/>
          <w:sz w:val="20"/>
          <w:szCs w:val="20"/>
        </w:rPr>
        <w:t xml:space="preserve"> </w:t>
      </w:r>
      <w:r w:rsidRPr="00536B92">
        <w:rPr>
          <w:rFonts w:asciiTheme="majorBidi" w:hAnsiTheme="majorBidi" w:cstheme="majorBidi"/>
          <w:color w:val="auto"/>
          <w:sz w:val="20"/>
          <w:szCs w:val="20"/>
        </w:rPr>
        <w:t xml:space="preserve">Results indicated that higher levels of C-reactive protein (CRP), D-dimer, and Lactate Dehydrogenase (LDH) were correlated to reduced cognitive performance. Conversely, Erythrocyte Sedimentation Rate (ESR) and </w:t>
      </w:r>
      <w:proofErr w:type="spellStart"/>
      <w:r w:rsidRPr="00536B92">
        <w:rPr>
          <w:rFonts w:asciiTheme="majorBidi" w:hAnsiTheme="majorBidi" w:cstheme="majorBidi"/>
          <w:color w:val="auto"/>
          <w:sz w:val="20"/>
          <w:szCs w:val="20"/>
        </w:rPr>
        <w:t>Creatine</w:t>
      </w:r>
      <w:proofErr w:type="spellEnd"/>
      <w:r w:rsidRPr="00536B92">
        <w:rPr>
          <w:rFonts w:asciiTheme="majorBidi" w:hAnsiTheme="majorBidi" w:cstheme="majorBidi"/>
          <w:color w:val="auto"/>
          <w:sz w:val="20"/>
          <w:szCs w:val="20"/>
        </w:rPr>
        <w:t xml:space="preserve"> Phosphokinase (CPK) did not exhibit a significant relationship with cognitive scores. A positive correlation was observed between improved cognitive function (reflected by higher GPCOG scores) and lower levels of anxiety and depression (indicated by lower scores on the Hospital Anxiety and Depression Scale). Over the study period, cognitive function and anxiety scores showed an upward trend, whereas symptoms of depression and challenges in daily activities remained consistent. </w:t>
      </w:r>
    </w:p>
    <w:p w:rsidR="00536B92" w:rsidRPr="00536B92" w:rsidRDefault="00536B92" w:rsidP="00F25244">
      <w:pPr>
        <w:spacing w:after="0" w:line="262" w:lineRule="auto"/>
        <w:ind w:right="0" w:firstLine="0"/>
        <w:rPr>
          <w:rFonts w:asciiTheme="majorBidi" w:hAnsiTheme="majorBidi" w:cstheme="majorBidi"/>
          <w:color w:val="auto"/>
          <w:sz w:val="20"/>
          <w:szCs w:val="20"/>
        </w:rPr>
      </w:pPr>
    </w:p>
    <w:p w:rsidR="00F25244" w:rsidRDefault="00F25244" w:rsidP="00F25244">
      <w:pPr>
        <w:ind w:left="-15" w:right="0" w:firstLine="0"/>
        <w:rPr>
          <w:rFonts w:asciiTheme="majorBidi" w:hAnsiTheme="majorBidi" w:cstheme="majorBidi"/>
          <w:color w:val="auto"/>
          <w:sz w:val="20"/>
          <w:szCs w:val="20"/>
        </w:rPr>
      </w:pPr>
      <w:r w:rsidRPr="00536B92">
        <w:rPr>
          <w:rFonts w:asciiTheme="majorBidi" w:hAnsiTheme="majorBidi" w:cstheme="majorBidi"/>
          <w:b/>
          <w:bCs/>
          <w:iCs/>
          <w:color w:val="auto"/>
          <w:sz w:val="20"/>
          <w:szCs w:val="20"/>
        </w:rPr>
        <w:t>Conclusions</w:t>
      </w:r>
      <w:r w:rsidRPr="00536B92">
        <w:rPr>
          <w:rFonts w:asciiTheme="majorBidi" w:hAnsiTheme="majorBidi" w:cstheme="majorBidi"/>
          <w:i/>
          <w:color w:val="auto"/>
          <w:sz w:val="20"/>
          <w:szCs w:val="20"/>
        </w:rPr>
        <w:t xml:space="preserve">: </w:t>
      </w:r>
      <w:r w:rsidRPr="00536B92">
        <w:rPr>
          <w:rFonts w:asciiTheme="majorBidi" w:hAnsiTheme="majorBidi" w:cstheme="majorBidi"/>
          <w:color w:val="auto"/>
          <w:sz w:val="20"/>
          <w:szCs w:val="20"/>
        </w:rPr>
        <w:t xml:space="preserve">The study highlights the enduring effects and detrimental role of inflammation on overall cognitive abilities among older survivors of COVID-19. It underscores the urgent need for specialized interventions and rehabilitative strategies to facilitate sustained cognitive recuperation among these individuals.  </w:t>
      </w:r>
    </w:p>
    <w:p w:rsidR="00536B92" w:rsidRPr="00536B92" w:rsidRDefault="00536B92" w:rsidP="00F25244">
      <w:pPr>
        <w:ind w:left="-15" w:right="0" w:firstLine="0"/>
        <w:rPr>
          <w:rFonts w:asciiTheme="majorBidi" w:hAnsiTheme="majorBidi" w:cstheme="majorBidi"/>
          <w:color w:val="auto"/>
          <w:sz w:val="20"/>
          <w:szCs w:val="20"/>
        </w:rPr>
      </w:pPr>
    </w:p>
    <w:p w:rsidR="00F25244" w:rsidRDefault="00F25244" w:rsidP="00536B92">
      <w:pPr>
        <w:ind w:left="-15" w:right="0" w:firstLine="0"/>
        <w:rPr>
          <w:rFonts w:asciiTheme="majorBidi" w:hAnsiTheme="majorBidi" w:cstheme="majorBidi"/>
          <w:color w:val="auto"/>
          <w:sz w:val="20"/>
          <w:szCs w:val="20"/>
        </w:rPr>
      </w:pPr>
      <w:r w:rsidRPr="00536B92">
        <w:rPr>
          <w:rFonts w:asciiTheme="majorBidi" w:hAnsiTheme="majorBidi" w:cstheme="majorBidi"/>
          <w:b/>
          <w:bCs/>
          <w:iCs/>
          <w:color w:val="auto"/>
          <w:sz w:val="20"/>
          <w:szCs w:val="20"/>
        </w:rPr>
        <w:t>Key words:</w:t>
      </w:r>
      <w:r w:rsidRP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COVID-19</w:t>
      </w:r>
      <w:r w:rsid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Cognition</w:t>
      </w:r>
      <w:r w:rsid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Depression</w:t>
      </w:r>
      <w:r w:rsid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Biomarker</w:t>
      </w:r>
      <w:r w:rsidR="00536B92">
        <w:rPr>
          <w:rFonts w:asciiTheme="majorBidi" w:hAnsiTheme="majorBidi" w:cstheme="majorBidi"/>
          <w:color w:val="auto"/>
          <w:sz w:val="20"/>
          <w:szCs w:val="20"/>
        </w:rPr>
        <w:t>, Aged</w:t>
      </w: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Default="00A76678" w:rsidP="00536B92">
      <w:pPr>
        <w:ind w:left="-15" w:right="0" w:firstLine="0"/>
        <w:rPr>
          <w:rFonts w:asciiTheme="majorBidi" w:hAnsiTheme="majorBidi" w:cstheme="majorBidi"/>
          <w:color w:val="auto"/>
          <w:sz w:val="20"/>
          <w:szCs w:val="20"/>
        </w:rPr>
      </w:pPr>
    </w:p>
    <w:p w:rsidR="00A76678" w:rsidRPr="00536B92" w:rsidRDefault="00A76678" w:rsidP="00536B92">
      <w:pPr>
        <w:ind w:left="-15" w:right="0" w:firstLine="0"/>
        <w:rPr>
          <w:rFonts w:asciiTheme="majorBidi" w:hAnsiTheme="majorBidi" w:cstheme="majorBidi"/>
          <w:color w:val="auto"/>
          <w:sz w:val="20"/>
          <w:szCs w:val="20"/>
        </w:rPr>
      </w:pPr>
    </w:p>
    <w:p w:rsidR="00F25244" w:rsidRPr="00536B92" w:rsidRDefault="00F25244" w:rsidP="00F25244">
      <w:pPr>
        <w:ind w:left="-15" w:right="0" w:firstLine="0"/>
        <w:rPr>
          <w:rFonts w:asciiTheme="majorBidi" w:hAnsiTheme="majorBidi" w:cstheme="majorBidi"/>
          <w:color w:val="auto"/>
          <w:sz w:val="20"/>
          <w:szCs w:val="20"/>
        </w:rPr>
      </w:pPr>
    </w:p>
    <w:p w:rsidR="00F25244" w:rsidRPr="00536B92" w:rsidRDefault="00F25244" w:rsidP="00F25244">
      <w:pPr>
        <w:ind w:left="-15" w:right="0" w:firstLine="0"/>
        <w:rPr>
          <w:rFonts w:asciiTheme="majorBidi" w:hAnsiTheme="majorBidi" w:cstheme="majorBidi"/>
          <w:b/>
          <w:bCs/>
          <w:color w:val="auto"/>
          <w:sz w:val="20"/>
          <w:szCs w:val="20"/>
        </w:rPr>
      </w:pPr>
      <w:r w:rsidRPr="00536B92">
        <w:rPr>
          <w:rFonts w:asciiTheme="majorBidi" w:hAnsiTheme="majorBidi" w:cstheme="majorBidi"/>
          <w:b/>
          <w:bCs/>
          <w:color w:val="auto"/>
          <w:sz w:val="20"/>
          <w:szCs w:val="20"/>
        </w:rPr>
        <w:lastRenderedPageBreak/>
        <w:t xml:space="preserve">Introduction: </w:t>
      </w:r>
    </w:p>
    <w:p w:rsidR="001F47D8" w:rsidRPr="00536B92" w:rsidRDefault="00F25244" w:rsidP="00F25244">
      <w:pPr>
        <w:ind w:left="-15" w:right="0" w:firstLine="0"/>
        <w:rPr>
          <w:rFonts w:asciiTheme="majorBidi" w:hAnsiTheme="majorBidi" w:cstheme="majorBidi"/>
          <w:color w:val="auto"/>
          <w:sz w:val="20"/>
          <w:szCs w:val="20"/>
        </w:rPr>
      </w:pPr>
      <w:r w:rsidRPr="00536B92">
        <w:rPr>
          <w:rFonts w:asciiTheme="majorBidi" w:hAnsiTheme="majorBidi" w:cstheme="majorBidi"/>
          <w:color w:val="auto"/>
          <w:sz w:val="20"/>
          <w:szCs w:val="20"/>
        </w:rPr>
        <w:t>The Coronavirus Disease 2019 (COVID-19) pandemic, caused by Severe Acute Respiratory Syndrome Coronavirus 2 (SARS-CoV-2), originated in China and rapidly spread worldwide [1]. While respiratory symptoms are the primary manifestation of COVID-19, approximately 35 % of patients also experience neuropsychiatric symptoms, including depression, anxiety, and cognitive impairment [2</w:t>
      </w:r>
      <w:proofErr w:type="gramStart"/>
      <w:r w:rsidRPr="00536B92">
        <w:rPr>
          <w:rFonts w:asciiTheme="majorBidi" w:hAnsiTheme="majorBidi" w:cstheme="majorBidi"/>
          <w:color w:val="auto"/>
          <w:sz w:val="20"/>
          <w:szCs w:val="20"/>
        </w:rPr>
        <w:t>,3</w:t>
      </w:r>
      <w:proofErr w:type="gramEnd"/>
      <w:r w:rsidRPr="00536B92">
        <w:rPr>
          <w:rFonts w:asciiTheme="majorBidi" w:hAnsiTheme="majorBidi" w:cstheme="majorBidi"/>
          <w:color w:val="auto"/>
          <w:sz w:val="20"/>
          <w:szCs w:val="20"/>
        </w:rPr>
        <w:t xml:space="preserve">]. Cognitive impairment is a debilitating symptom that can persist into the recovery phase known as long COVID [4]. Both depressive symptoms and </w:t>
      </w:r>
      <w:r w:rsidR="00860896" w:rsidRPr="00536B92">
        <w:rPr>
          <w:rFonts w:asciiTheme="majorBidi" w:hAnsiTheme="majorBidi" w:cstheme="majorBidi"/>
          <w:color w:val="auto"/>
          <w:sz w:val="20"/>
          <w:szCs w:val="20"/>
        </w:rPr>
        <w:t xml:space="preserve">neurocognitive impairment were identified three months after COVID-19 infection [5]. It is worth noting that depression has an impact on neurocognitive functions, which may reflect the presence of common inflammatory triggers [6]. Although the exact mechanisms underlying the neuropsychiatric manifestations remain unclear, several neurotoxic mechanisms have been proposed, suggesting that COVID-19 affects the brain through multiple independent pathways [7].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Systemic inflammation and cytokine storms play significant roles in the clinical presentation of COVID-19 infection [8] and are risk factors for both the development and exacerbation of cognitive impairment [9]. Following infection, persistent molecular and functional changes in the brain are associated with systemic inflammation [10</w:t>
      </w:r>
      <w:proofErr w:type="gramStart"/>
      <w:r w:rsidRPr="00536B92">
        <w:rPr>
          <w:rFonts w:asciiTheme="majorBidi" w:hAnsiTheme="majorBidi" w:cstheme="majorBidi"/>
          <w:color w:val="auto"/>
          <w:sz w:val="20"/>
          <w:szCs w:val="20"/>
        </w:rPr>
        <w:t>,11</w:t>
      </w:r>
      <w:proofErr w:type="gramEnd"/>
      <w:r w:rsidRPr="00536B92">
        <w:rPr>
          <w:rFonts w:asciiTheme="majorBidi" w:hAnsiTheme="majorBidi" w:cstheme="majorBidi"/>
          <w:color w:val="auto"/>
          <w:sz w:val="20"/>
          <w:szCs w:val="20"/>
        </w:rPr>
        <w:t>]. COVID-19 may lead to prolonged inflammation, even after viral clearance, which may predict the persistence of depression and neurocognitive disorders [12</w:t>
      </w:r>
      <w:proofErr w:type="gramStart"/>
      <w:r w:rsidRPr="00536B92">
        <w:rPr>
          <w:rFonts w:asciiTheme="majorBidi" w:hAnsiTheme="majorBidi" w:cstheme="majorBidi"/>
          <w:color w:val="auto"/>
          <w:sz w:val="20"/>
          <w:szCs w:val="20"/>
        </w:rPr>
        <w:t>,13</w:t>
      </w:r>
      <w:proofErr w:type="gramEnd"/>
      <w:r w:rsidRPr="00536B92">
        <w:rPr>
          <w:rFonts w:asciiTheme="majorBidi" w:hAnsiTheme="majorBidi" w:cstheme="majorBidi"/>
          <w:color w:val="auto"/>
          <w:sz w:val="20"/>
          <w:szCs w:val="20"/>
        </w:rPr>
        <w:t xml:space="preserve">]. Inflammatory markers increase blood-brain barrier permeability, allowing neurotoxic molecules to infiltrate the Central Nervous System (CNS) [14]. Inflammation can also induce structural damage, such as hippocampal atrophy [15]. </w:t>
      </w:r>
    </w:p>
    <w:p w:rsid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Several inflammatory indices, including the Erythrocyte Sedimentation Rate (ESR), C-reactive protein (CRP), Lactate Dehydrogenase (LDH), </w:t>
      </w:r>
      <w:proofErr w:type="spellStart"/>
      <w:r w:rsidRPr="00536B92">
        <w:rPr>
          <w:rFonts w:asciiTheme="majorBidi" w:hAnsiTheme="majorBidi" w:cstheme="majorBidi"/>
          <w:color w:val="auto"/>
          <w:sz w:val="20"/>
          <w:szCs w:val="20"/>
        </w:rPr>
        <w:t>Creatine</w:t>
      </w:r>
      <w:proofErr w:type="spellEnd"/>
      <w:r w:rsidRPr="00536B92">
        <w:rPr>
          <w:rFonts w:asciiTheme="majorBidi" w:hAnsiTheme="majorBidi" w:cstheme="majorBidi"/>
          <w:color w:val="auto"/>
          <w:sz w:val="20"/>
          <w:szCs w:val="20"/>
        </w:rPr>
        <w:t xml:space="preserve"> Phosphokinase (CPK), and D-dimer, are elevated during COVID-19 infection. These markers are </w:t>
      </w:r>
    </w:p>
    <w:p w:rsidR="00536B92" w:rsidRDefault="00536B92">
      <w:pPr>
        <w:ind w:left="-15" w:right="0"/>
        <w:rPr>
          <w:rFonts w:asciiTheme="majorBidi" w:hAnsiTheme="majorBidi" w:cstheme="majorBidi"/>
          <w:color w:val="auto"/>
          <w:sz w:val="20"/>
          <w:szCs w:val="20"/>
        </w:rPr>
      </w:pPr>
    </w:p>
    <w:p w:rsidR="00536B92" w:rsidRDefault="00536B92">
      <w:pPr>
        <w:ind w:left="-15" w:right="0"/>
        <w:rPr>
          <w:rFonts w:asciiTheme="majorBidi" w:hAnsiTheme="majorBidi" w:cstheme="majorBidi"/>
          <w:color w:val="auto"/>
          <w:sz w:val="20"/>
          <w:szCs w:val="20"/>
        </w:rPr>
      </w:pPr>
    </w:p>
    <w:p w:rsidR="001F47D8" w:rsidRPr="00536B92" w:rsidRDefault="00860896">
      <w:pPr>
        <w:ind w:left="-15" w:right="0"/>
        <w:rPr>
          <w:rFonts w:asciiTheme="majorBidi" w:hAnsiTheme="majorBidi" w:cstheme="majorBidi"/>
          <w:color w:val="auto"/>
          <w:sz w:val="20"/>
          <w:szCs w:val="20"/>
        </w:rPr>
      </w:pPr>
      <w:proofErr w:type="gramStart"/>
      <w:r w:rsidRPr="00536B92">
        <w:rPr>
          <w:rFonts w:asciiTheme="majorBidi" w:hAnsiTheme="majorBidi" w:cstheme="majorBidi"/>
          <w:color w:val="auto"/>
          <w:sz w:val="20"/>
          <w:szCs w:val="20"/>
        </w:rPr>
        <w:t>not</w:t>
      </w:r>
      <w:proofErr w:type="gramEnd"/>
      <w:r w:rsidRPr="00536B92">
        <w:rPr>
          <w:rFonts w:asciiTheme="majorBidi" w:hAnsiTheme="majorBidi" w:cstheme="majorBidi"/>
          <w:color w:val="auto"/>
          <w:sz w:val="20"/>
          <w:szCs w:val="20"/>
        </w:rPr>
        <w:t xml:space="preserve"> only associated with disease severity but also predict worse outcomes [16–19]. COVID-19 severity and outcomes are more prominent in older patients, with the majority of deaths occurring among this age group [20]. Age-related immune imbalances contribute to the excessive release of </w:t>
      </w:r>
      <w:proofErr w:type="spellStart"/>
      <w:r w:rsidRPr="00536B92">
        <w:rPr>
          <w:rFonts w:asciiTheme="majorBidi" w:hAnsiTheme="majorBidi" w:cstheme="majorBidi"/>
          <w:color w:val="auto"/>
          <w:sz w:val="20"/>
          <w:szCs w:val="20"/>
        </w:rPr>
        <w:t>proinflammatory</w:t>
      </w:r>
      <w:proofErr w:type="spellEnd"/>
      <w:r w:rsidRPr="00536B92">
        <w:rPr>
          <w:rFonts w:asciiTheme="majorBidi" w:hAnsiTheme="majorBidi" w:cstheme="majorBidi"/>
          <w:color w:val="auto"/>
          <w:sz w:val="20"/>
          <w:szCs w:val="20"/>
        </w:rPr>
        <w:t xml:space="preserve"> cytokines, leading to a cytokine storm [21]. </w:t>
      </w:r>
    </w:p>
    <w:p w:rsidR="00536B92"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Older individuals, along with other age groups, are particularly susceptible to adverse outcomes following COVID-19 infection. Research has shown that advanced age is a significant risk factor for severe COVID-19 outcomes [20] and studies have emphasized the potential for cognitive decline in older adults [22</w:t>
      </w:r>
      <w:proofErr w:type="gramStart"/>
      <w:r w:rsidRPr="00536B92">
        <w:rPr>
          <w:rFonts w:asciiTheme="majorBidi" w:hAnsiTheme="majorBidi" w:cstheme="majorBidi"/>
          <w:color w:val="auto"/>
          <w:sz w:val="20"/>
          <w:szCs w:val="20"/>
        </w:rPr>
        <w:t>,23</w:t>
      </w:r>
      <w:proofErr w:type="gramEnd"/>
      <w:r w:rsidRPr="00536B92">
        <w:rPr>
          <w:rFonts w:asciiTheme="majorBidi" w:hAnsiTheme="majorBidi" w:cstheme="majorBidi"/>
          <w:color w:val="auto"/>
          <w:sz w:val="20"/>
          <w:szCs w:val="20"/>
        </w:rPr>
        <w:t xml:space="preserve">]. While studies have highlighted the impact of inflammation on cognitive function in older adults [24], few studies have investigated the link between cognitive function and inflammation in elderly individuals who have recovered from COVID-19 [25]. There is a pressing need for more extensive research to understand this connection fully, particularly across varied demographics and in different contexts such as in developing and low-income nations. The increasing number of older adults highlights the importance of conducting geriatric research. It is particularly noteworthy that, </w:t>
      </w:r>
    </w:p>
    <w:p w:rsidR="001F47D8" w:rsidRPr="00536B92" w:rsidRDefault="00860896" w:rsidP="00536B92">
      <w:pPr>
        <w:ind w:right="0" w:firstLine="0"/>
        <w:rPr>
          <w:rFonts w:asciiTheme="majorBidi" w:hAnsiTheme="majorBidi" w:cstheme="majorBidi"/>
          <w:color w:val="auto"/>
          <w:sz w:val="20"/>
          <w:szCs w:val="20"/>
        </w:rPr>
      </w:pPr>
      <w:proofErr w:type="gramStart"/>
      <w:r w:rsidRPr="00536B92">
        <w:rPr>
          <w:rFonts w:asciiTheme="majorBidi" w:hAnsiTheme="majorBidi" w:cstheme="majorBidi"/>
          <w:color w:val="auto"/>
          <w:sz w:val="20"/>
          <w:szCs w:val="20"/>
        </w:rPr>
        <w:t>to</w:t>
      </w:r>
      <w:proofErr w:type="gramEnd"/>
      <w:r w:rsidRPr="00536B92">
        <w:rPr>
          <w:rFonts w:asciiTheme="majorBidi" w:hAnsiTheme="majorBidi" w:cstheme="majorBidi"/>
          <w:color w:val="auto"/>
          <w:sz w:val="20"/>
          <w:szCs w:val="20"/>
        </w:rPr>
        <w:t xml:space="preserve"> date, no research in low- and middle-income countries, Iran included, has examined cognitive function and associated inflammatory markers in elderly COVID-19 survivors during their recovery period.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Regarding the evaluation of patients observed in the literature [4</w:t>
      </w:r>
      <w:proofErr w:type="gramStart"/>
      <w:r w:rsidRPr="00536B92">
        <w:rPr>
          <w:rFonts w:asciiTheme="majorBidi" w:hAnsiTheme="majorBidi" w:cstheme="majorBidi"/>
          <w:color w:val="auto"/>
          <w:sz w:val="20"/>
          <w:szCs w:val="20"/>
        </w:rPr>
        <w:t>,6</w:t>
      </w:r>
      <w:proofErr w:type="gramEnd"/>
      <w:r w:rsidRPr="00536B92">
        <w:rPr>
          <w:rFonts w:asciiTheme="majorBidi" w:hAnsiTheme="majorBidi" w:cstheme="majorBidi"/>
          <w:color w:val="auto"/>
          <w:sz w:val="20"/>
          <w:szCs w:val="20"/>
        </w:rPr>
        <w:t>], we hypothesize that COVID-19 negatively affects the cognitive performance of older patients over time. Drawing from the existing literature that establishes connections between inflammatory markers and cognitive function [9</w:t>
      </w:r>
      <w:proofErr w:type="gramStart"/>
      <w:r w:rsidRPr="00536B92">
        <w:rPr>
          <w:rFonts w:asciiTheme="majorBidi" w:hAnsiTheme="majorBidi" w:cstheme="majorBidi"/>
          <w:color w:val="auto"/>
          <w:sz w:val="20"/>
          <w:szCs w:val="20"/>
        </w:rPr>
        <w:t>,15</w:t>
      </w:r>
      <w:proofErr w:type="gramEnd"/>
      <w:r w:rsidRPr="00536B92">
        <w:rPr>
          <w:rFonts w:asciiTheme="majorBidi" w:hAnsiTheme="majorBidi" w:cstheme="majorBidi"/>
          <w:color w:val="auto"/>
          <w:sz w:val="20"/>
          <w:szCs w:val="20"/>
        </w:rPr>
        <w:t>], our hypothesis posits that elevated levels of inflammatory markers are correlated with cognitive impairment. Based on the literature [3</w:t>
      </w:r>
      <w:proofErr w:type="gramStart"/>
      <w:r w:rsidRPr="00536B92">
        <w:rPr>
          <w:rFonts w:asciiTheme="majorBidi" w:hAnsiTheme="majorBidi" w:cstheme="majorBidi"/>
          <w:color w:val="auto"/>
          <w:sz w:val="20"/>
          <w:szCs w:val="20"/>
        </w:rPr>
        <w:t>,6,39</w:t>
      </w:r>
      <w:proofErr w:type="gramEnd"/>
      <w:r w:rsidRPr="00536B92">
        <w:rPr>
          <w:rFonts w:asciiTheme="majorBidi" w:hAnsiTheme="majorBidi" w:cstheme="majorBidi"/>
          <w:color w:val="auto"/>
          <w:sz w:val="20"/>
          <w:szCs w:val="20"/>
        </w:rPr>
        <w:t xml:space="preserve">], we also expect group differences concerning the role of depression and anxiety in cognitive impairment over time. </w:t>
      </w:r>
    </w:p>
    <w:p w:rsidR="001F47D8" w:rsidRPr="00536B92" w:rsidRDefault="00860896">
      <w:pPr>
        <w:spacing w:after="222"/>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research evaluated the cognitive and psychological well-being of elderly COVID-19 patients at the time of hospital discharge, as well as one and three months afterward. It investigated the correlation between cognitive deficits and inflammatory indicators such as ESR, CRP, LDH, CPK, and D-dimer, with the goal of pinpointing potential factors contributing to cognitive decline in those who have recovered from COVID-19. Additionally, the study examined the impact of depression and anxiety on the cognitive abilities of these patients. </w:t>
      </w:r>
    </w:p>
    <w:p w:rsidR="001F47D8" w:rsidRPr="00536B92" w:rsidRDefault="00860896">
      <w:pPr>
        <w:pStyle w:val="Heading1"/>
        <w:ind w:left="230" w:hanging="245"/>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Methods </w:t>
      </w:r>
    </w:p>
    <w:p w:rsidR="00536B92" w:rsidRPr="00536B92" w:rsidRDefault="00860896" w:rsidP="00536B92">
      <w:pPr>
        <w:spacing w:after="215" w:line="258" w:lineRule="auto"/>
        <w:ind w:firstLine="0"/>
        <w:rPr>
          <w:rFonts w:asciiTheme="majorBidi" w:hAnsiTheme="majorBidi" w:cstheme="majorBidi"/>
          <w:color w:val="auto"/>
          <w:sz w:val="20"/>
          <w:szCs w:val="20"/>
        </w:rPr>
      </w:pPr>
      <w:r w:rsidRPr="00536B92">
        <w:rPr>
          <w:rFonts w:asciiTheme="majorBidi" w:hAnsiTheme="majorBidi" w:cstheme="majorBidi"/>
          <w:i/>
          <w:color w:val="auto"/>
          <w:sz w:val="20"/>
          <w:szCs w:val="20"/>
        </w:rPr>
        <w:t>2.1. Study design and participants</w:t>
      </w:r>
      <w:r w:rsidR="00536B92">
        <w:rPr>
          <w:rFonts w:asciiTheme="majorBidi" w:hAnsiTheme="majorBidi" w:cstheme="majorBidi"/>
          <w:i/>
          <w:color w:val="auto"/>
          <w:sz w:val="20"/>
          <w:szCs w:val="20"/>
        </w:rPr>
        <w:t>:</w:t>
      </w:r>
      <w:r w:rsidRPr="00536B92">
        <w:rPr>
          <w:rFonts w:asciiTheme="majorBidi" w:hAnsiTheme="majorBidi" w:cstheme="majorBidi"/>
          <w:i/>
          <w:color w:val="auto"/>
          <w:sz w:val="20"/>
          <w:szCs w:val="20"/>
        </w:rPr>
        <w:t xml:space="preserve"> </w:t>
      </w:r>
      <w:r w:rsidR="00536B92" w:rsidRPr="00536B92">
        <w:rPr>
          <w:rFonts w:asciiTheme="majorBidi" w:hAnsiTheme="majorBidi" w:cstheme="majorBidi"/>
          <w:color w:val="auto"/>
          <w:sz w:val="20"/>
          <w:szCs w:val="20"/>
        </w:rPr>
        <w:t xml:space="preserve">This descriptive analytics study focused on older adult COVID-19 patients admitted to a hospital affiliated with Ahvaz Jundishapur University of Medical Sciences or Ahvaz </w:t>
      </w:r>
      <w:proofErr w:type="spellStart"/>
      <w:r w:rsidR="00536B92" w:rsidRPr="00536B92">
        <w:rPr>
          <w:rFonts w:asciiTheme="majorBidi" w:hAnsiTheme="majorBidi" w:cstheme="majorBidi"/>
          <w:color w:val="auto"/>
          <w:sz w:val="20"/>
          <w:szCs w:val="20"/>
        </w:rPr>
        <w:t>Naft</w:t>
      </w:r>
      <w:proofErr w:type="spellEnd"/>
      <w:r w:rsidR="00536B92" w:rsidRPr="00536B92">
        <w:rPr>
          <w:rFonts w:asciiTheme="majorBidi" w:hAnsiTheme="majorBidi" w:cstheme="majorBidi"/>
          <w:color w:val="auto"/>
          <w:sz w:val="20"/>
          <w:szCs w:val="20"/>
        </w:rPr>
        <w:t xml:space="preserve"> Grand Hospital from July 2021 to February 2022. Inclusion criteria encompassed individuals aged 60 years and older, capable of undergoing cognitive assessments, without diagnosed neurocognitive disorders or major psychiatric/neurological disorders, delirium, or use of psychotropic medications. Patients unwilling to undergo follow-up assessments were excluded. Of 383 COVID- 19-positive older patients according to Real-Time Reverse Transcription-Polymerase Chain Reaction (RT–PCR), Out of 211 individuals who met the inclusion criteria, 177 patients were ultimately selected for the study, following the exclusion of those who did not fully complete the required study questionnaires. </w:t>
      </w:r>
    </w:p>
    <w:p w:rsidR="00536B92" w:rsidRDefault="00860896" w:rsidP="00536B92">
      <w:pPr>
        <w:spacing w:after="103" w:line="391" w:lineRule="auto"/>
        <w:ind w:left="-15" w:right="0"/>
        <w:rPr>
          <w:rFonts w:asciiTheme="majorBidi" w:hAnsiTheme="majorBidi" w:cstheme="majorBidi"/>
          <w:color w:val="auto"/>
          <w:sz w:val="20"/>
          <w:szCs w:val="20"/>
        </w:rPr>
      </w:pPr>
      <w:r w:rsidRPr="00536B92">
        <w:rPr>
          <w:rFonts w:asciiTheme="majorBidi" w:hAnsiTheme="majorBidi" w:cstheme="majorBidi"/>
          <w:i/>
          <w:color w:val="auto"/>
          <w:sz w:val="20"/>
          <w:szCs w:val="20"/>
        </w:rPr>
        <w:lastRenderedPageBreak/>
        <w:t>2.2. Patient evaluation</w:t>
      </w:r>
      <w:r w:rsidR="00536B92">
        <w:rPr>
          <w:rFonts w:asciiTheme="majorBidi" w:hAnsiTheme="majorBidi" w:cstheme="majorBidi"/>
          <w:i/>
          <w:color w:val="auto"/>
          <w:sz w:val="20"/>
          <w:szCs w:val="20"/>
        </w:rPr>
        <w:t>:</w:t>
      </w:r>
      <w:r w:rsidR="00536B92" w:rsidRPr="00536B92">
        <w:rPr>
          <w:rFonts w:asciiTheme="majorBidi" w:hAnsiTheme="majorBidi" w:cstheme="majorBidi"/>
          <w:color w:val="auto"/>
          <w:sz w:val="20"/>
          <w:szCs w:val="20"/>
        </w:rPr>
        <w:t xml:space="preserve"> COVID-19 infection was confirmed based on clinical presentation combined with a positive RT-PCR result from a nasopharyngeal swab. Written informed consent was obtained from all the subjects. Demographic information was collected. A semi-structured psychiatric interview, conducted by a dedicated psychiatrist, was employed to investigate the presence of any psychiatric disorders related to the inclusion and exclusion criteria based on the Diagnostic and Statistical Manual of Mental Disorders (DSM-5) [26]. Prospectively, patients’ mental and cognitive states were assessed at the time of hospital discharge and 1 month and 3 months post-discharge.</w:t>
      </w:r>
    </w:p>
    <w:p w:rsidR="00536B92" w:rsidRPr="00536B92" w:rsidRDefault="00536B92" w:rsidP="00536B92">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w:t>
      </w:r>
      <w:r w:rsidRPr="00536B92">
        <w:rPr>
          <w:rFonts w:asciiTheme="majorBidi" w:hAnsiTheme="majorBidi" w:cstheme="majorBidi"/>
          <w:i/>
          <w:color w:val="auto"/>
          <w:sz w:val="20"/>
          <w:szCs w:val="20"/>
        </w:rPr>
        <w:t>2.3. Psychiatric and cognitive assessment:</w:t>
      </w:r>
      <w:r w:rsidRPr="00536B92">
        <w:rPr>
          <w:rFonts w:asciiTheme="majorBidi" w:hAnsiTheme="majorBidi" w:cstheme="majorBidi"/>
          <w:color w:val="auto"/>
          <w:sz w:val="20"/>
          <w:szCs w:val="20"/>
        </w:rPr>
        <w:t xml:space="preserve"> Patients’ mental states were evaluated using the Hospital Anxiety and Depression Scale (HADS) for anxiety and depression screening. The General Practitioner Assessment of Cognition (GPCOG) was employed for global cognitive evaluation. Basic Activities of Daily Living (ADL) and Instrumental Activities of Daily Living (IADL) questionnaires were used to assess patients’ functional status. </w:t>
      </w:r>
    </w:p>
    <w:p w:rsidR="00536B92" w:rsidRPr="00536B92" w:rsidRDefault="00536B92" w:rsidP="00536B92">
      <w:pPr>
        <w:spacing w:after="103" w:line="391" w:lineRule="auto"/>
        <w:ind w:left="-15" w:right="0"/>
        <w:rPr>
          <w:rFonts w:asciiTheme="majorBidi" w:hAnsiTheme="majorBidi" w:cstheme="majorBidi"/>
          <w:color w:val="auto"/>
          <w:sz w:val="20"/>
          <w:szCs w:val="20"/>
        </w:rPr>
      </w:pPr>
    </w:p>
    <w:p w:rsidR="00536B92" w:rsidRPr="00536B92" w:rsidRDefault="00536B92" w:rsidP="00536B92">
      <w:pPr>
        <w:ind w:left="-15" w:right="0"/>
        <w:rPr>
          <w:rFonts w:asciiTheme="majorBidi" w:hAnsiTheme="majorBidi" w:cstheme="majorBidi"/>
          <w:color w:val="auto"/>
          <w:sz w:val="20"/>
          <w:szCs w:val="20"/>
        </w:rPr>
      </w:pPr>
    </w:p>
    <w:p w:rsidR="00536B92" w:rsidRPr="00536B92" w:rsidRDefault="00536B92" w:rsidP="00536B92">
      <w:pPr>
        <w:ind w:left="-15" w:right="0"/>
        <w:rPr>
          <w:rFonts w:asciiTheme="majorBidi" w:hAnsiTheme="majorBidi" w:cstheme="majorBidi"/>
          <w:color w:val="auto"/>
          <w:sz w:val="20"/>
          <w:szCs w:val="20"/>
        </w:rPr>
      </w:pPr>
    </w:p>
    <w:p w:rsidR="001F47D8" w:rsidRPr="00536B92" w:rsidRDefault="001F47D8" w:rsidP="00536B92">
      <w:pPr>
        <w:spacing w:after="209" w:line="259" w:lineRule="auto"/>
        <w:ind w:left="-5" w:right="0" w:hanging="10"/>
        <w:jc w:val="left"/>
        <w:rPr>
          <w:rFonts w:asciiTheme="majorBidi" w:hAnsiTheme="majorBidi" w:cstheme="majorBidi"/>
          <w:color w:val="auto"/>
          <w:sz w:val="20"/>
          <w:szCs w:val="20"/>
        </w:rPr>
      </w:pPr>
    </w:p>
    <w:p w:rsidR="00536B92" w:rsidRDefault="00536B92">
      <w:pPr>
        <w:ind w:left="-15" w:right="0"/>
        <w:rPr>
          <w:rFonts w:asciiTheme="majorBidi" w:hAnsiTheme="majorBidi" w:cstheme="majorBidi"/>
          <w:b/>
          <w:i/>
          <w:color w:val="auto"/>
          <w:sz w:val="20"/>
          <w:szCs w:val="20"/>
        </w:rPr>
      </w:pPr>
    </w:p>
    <w:p w:rsidR="00536B92" w:rsidRDefault="00536B92">
      <w:pPr>
        <w:ind w:left="-15" w:right="0"/>
        <w:rPr>
          <w:rFonts w:asciiTheme="majorBidi" w:hAnsiTheme="majorBidi" w:cstheme="majorBidi"/>
          <w:b/>
          <w:i/>
          <w:color w:val="auto"/>
          <w:sz w:val="20"/>
          <w:szCs w:val="20"/>
        </w:rPr>
      </w:pP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b/>
          <w:i/>
          <w:color w:val="auto"/>
          <w:sz w:val="20"/>
          <w:szCs w:val="20"/>
        </w:rPr>
        <w:t xml:space="preserve">Hospital Anxiety and Depression Scale (HADS): </w:t>
      </w:r>
      <w:r w:rsidRPr="00536B92">
        <w:rPr>
          <w:rFonts w:asciiTheme="majorBidi" w:hAnsiTheme="majorBidi" w:cstheme="majorBidi"/>
          <w:color w:val="auto"/>
          <w:sz w:val="20"/>
          <w:szCs w:val="20"/>
        </w:rPr>
        <w:t xml:space="preserve">The Hospital Anxiety and Depression Scale (HADS) is a widely used self-report questionnaire designed to assess and screen for symptoms of anxiety and depression in patients with physical health conditions [27]. It was specifically developed to address the challenges of identifying emotional distress in medical settings and is considered a reliable and efficient tool for this purpose. The HADS consists of two subscales, the HADS-Anxiety Scale (HADS-A) and the HADS-Depression Scale (HADS-D), each comprising seven items. Each item on the HADS is scored on a </w:t>
      </w:r>
      <w:proofErr w:type="spellStart"/>
      <w:r w:rsidRPr="00536B92">
        <w:rPr>
          <w:rFonts w:asciiTheme="majorBidi" w:hAnsiTheme="majorBidi" w:cstheme="majorBidi"/>
          <w:color w:val="auto"/>
          <w:sz w:val="20"/>
          <w:szCs w:val="20"/>
        </w:rPr>
        <w:t>Likert</w:t>
      </w:r>
      <w:proofErr w:type="spellEnd"/>
      <w:r w:rsidRPr="00536B92">
        <w:rPr>
          <w:rFonts w:asciiTheme="majorBidi" w:hAnsiTheme="majorBidi" w:cstheme="majorBidi"/>
          <w:color w:val="auto"/>
          <w:sz w:val="20"/>
          <w:szCs w:val="20"/>
        </w:rPr>
        <w:t xml:space="preserve"> scale, typically ranging from 0 to 3, with higher scores indicating greater symptom severity. The total score for each subscale (HADS-A and HADS-D) ranges from 0 to 21, with higher scores reflecting higher levels of anxiety or depression. The reliability of the HADS anxiety and depression subscales in the Iranian version has been reported with </w:t>
      </w:r>
      <w:proofErr w:type="spellStart"/>
      <w:r w:rsidRPr="00536B92">
        <w:rPr>
          <w:rFonts w:asciiTheme="majorBidi" w:hAnsiTheme="majorBidi" w:cstheme="majorBidi"/>
          <w:color w:val="auto"/>
          <w:sz w:val="20"/>
          <w:szCs w:val="20"/>
        </w:rPr>
        <w:t>Cronbach’s</w:t>
      </w:r>
      <w:proofErr w:type="spellEnd"/>
      <w:r w:rsidRPr="00536B92">
        <w:rPr>
          <w:rFonts w:asciiTheme="majorBidi" w:hAnsiTheme="majorBidi" w:cstheme="majorBidi"/>
          <w:color w:val="auto"/>
          <w:sz w:val="20"/>
          <w:szCs w:val="20"/>
        </w:rPr>
        <w:t xml:space="preserve"> alpha coefficients of 0.85 and 0.70, respectively. In the Iranian adaptation of the HADS, the cutoff for diagnosing anxiety and depression is set at a score of 6. For depression, a score between 0 and 6 denotes the absence of depression, 7 to 8 suggests mild depression, 9 to 10 indicates moderate depression, and a score of 11 or higher signifies severe depression. In the case of anxiety, a score from 0 to 6 implies no anxiety, 7 to 9 represents mild anxiety, 10 to 13 indicates moderate anxiety, and a score exceeding 14 points to severe anxiety [28]. </w:t>
      </w:r>
    </w:p>
    <w:p w:rsidR="00536B92" w:rsidRPr="00536B92" w:rsidRDefault="00536B92">
      <w:pPr>
        <w:ind w:left="-15" w:right="0"/>
        <w:rPr>
          <w:rFonts w:asciiTheme="majorBidi" w:hAnsiTheme="majorBidi" w:cstheme="majorBidi"/>
          <w:b/>
          <w:i/>
          <w:color w:val="auto"/>
          <w:sz w:val="20"/>
          <w:szCs w:val="20"/>
        </w:rPr>
      </w:pPr>
    </w:p>
    <w:p w:rsidR="001F47D8" w:rsidRPr="00536B92" w:rsidRDefault="00860896" w:rsidP="00536B92">
      <w:pPr>
        <w:ind w:right="0" w:firstLine="0"/>
        <w:rPr>
          <w:rFonts w:asciiTheme="majorBidi" w:hAnsiTheme="majorBidi" w:cstheme="majorBidi"/>
          <w:color w:val="auto"/>
          <w:sz w:val="20"/>
          <w:szCs w:val="20"/>
        </w:rPr>
      </w:pPr>
      <w:r w:rsidRPr="00536B92">
        <w:rPr>
          <w:rFonts w:asciiTheme="majorBidi" w:hAnsiTheme="majorBidi" w:cstheme="majorBidi"/>
          <w:b/>
          <w:i/>
          <w:color w:val="auto"/>
          <w:sz w:val="20"/>
          <w:szCs w:val="20"/>
        </w:rPr>
        <w:t xml:space="preserve">General Practitioner Assessment of Cognition (GPCOG): </w:t>
      </w:r>
      <w:r w:rsidRPr="00536B92">
        <w:rPr>
          <w:rFonts w:asciiTheme="majorBidi" w:hAnsiTheme="majorBidi" w:cstheme="majorBidi"/>
          <w:color w:val="auto"/>
          <w:sz w:val="20"/>
          <w:szCs w:val="20"/>
        </w:rPr>
        <w:t xml:space="preserve">The General Practitioner Assessment of Cognition (GPCOG) is a brief cognitive screening instrument designed for primary care settings, which aids general practitioners in identifying potential global cognitive impairment in older adults [29]. It has two components: a patient examination (GPCOG-P score: 0–9) and an informant questionnaire (GPCOG-I score: 0–6). The GPCOG - patient assesses four cognitive aspects, including orientation, recent information retrieval, executive function, visuospatial ability, and delayed recall. The GPCOG-informant interview comprises six questions covering cognitive and functional abilities concerning problems recalling recent events, misplacing objects, word-finding difficulties, managing finances, managing medications, and requiring help for transportation [30]. </w:t>
      </w:r>
      <w:proofErr w:type="gramStart"/>
      <w:r w:rsidRPr="00536B92">
        <w:rPr>
          <w:rFonts w:asciiTheme="majorBidi" w:hAnsiTheme="majorBidi" w:cstheme="majorBidi"/>
          <w:color w:val="auto"/>
          <w:sz w:val="20"/>
          <w:szCs w:val="20"/>
        </w:rPr>
        <w:t>the</w:t>
      </w:r>
      <w:proofErr w:type="gramEnd"/>
      <w:r w:rsidRPr="00536B92">
        <w:rPr>
          <w:rFonts w:asciiTheme="majorBidi" w:hAnsiTheme="majorBidi" w:cstheme="majorBidi"/>
          <w:color w:val="auto"/>
          <w:sz w:val="20"/>
          <w:szCs w:val="20"/>
        </w:rPr>
        <w:t xml:space="preserve"> Iranian version, </w:t>
      </w:r>
      <w:proofErr w:type="spellStart"/>
      <w:r w:rsidRPr="00536B92">
        <w:rPr>
          <w:rFonts w:asciiTheme="majorBidi" w:hAnsiTheme="majorBidi" w:cstheme="majorBidi"/>
          <w:color w:val="auto"/>
          <w:sz w:val="20"/>
          <w:szCs w:val="20"/>
        </w:rPr>
        <w:t>Cronbach’s</w:t>
      </w:r>
      <w:proofErr w:type="spellEnd"/>
      <w:r w:rsidRPr="00536B92">
        <w:rPr>
          <w:rFonts w:asciiTheme="majorBidi" w:hAnsiTheme="majorBidi" w:cstheme="majorBidi"/>
          <w:color w:val="auto"/>
          <w:sz w:val="20"/>
          <w:szCs w:val="20"/>
        </w:rPr>
        <w:t xml:space="preserve"> alpha values for the GPCOG patient and informant subscales were 0.90 and 0.83, respectively, indicating high internal consistency and homogeneity between items. The test-retest correlation for the total P-GPCOG score was 0.82 in 30 participants after 19 days [31]. The utilization of the General Practitioner Assessment of Cognition (GPCOG) as a screening tool for dementia demonstrated its effectiveness in primary care settings. The comparison between GPCOG and the Mini-Mental State Examination (MMSE) revealed that both tools were similarly effective in detecting likely dementia. Moreover, the GPCOG was found to be a viable alternative to MMSE, requiring less time for administration while maintaining efficacy in screening for dementia [32]. Additionally, incorporating feedback from informants into the cognitive assessment procedure significantly improves the appraisal of cognitive health among older patients [33]. </w:t>
      </w:r>
    </w:p>
    <w:p w:rsidR="00536B92" w:rsidRPr="00536B92" w:rsidRDefault="00860896" w:rsidP="00536B92">
      <w:pPr>
        <w:spacing w:after="215"/>
        <w:ind w:left="-15" w:right="0"/>
        <w:rPr>
          <w:rFonts w:asciiTheme="majorBidi" w:hAnsiTheme="majorBidi" w:cstheme="majorBidi"/>
          <w:color w:val="auto"/>
          <w:sz w:val="20"/>
          <w:szCs w:val="20"/>
        </w:rPr>
      </w:pPr>
      <w:r w:rsidRPr="00536B92">
        <w:rPr>
          <w:rFonts w:asciiTheme="majorBidi" w:hAnsiTheme="majorBidi" w:cstheme="majorBidi"/>
          <w:b/>
          <w:i/>
          <w:color w:val="auto"/>
          <w:sz w:val="20"/>
          <w:szCs w:val="20"/>
        </w:rPr>
        <w:t xml:space="preserve">Basic Activities of Daily Living (BADL) and Instrumental Activities of Daily Living (IADL): </w:t>
      </w:r>
      <w:r w:rsidRPr="00536B92">
        <w:rPr>
          <w:rFonts w:asciiTheme="majorBidi" w:hAnsiTheme="majorBidi" w:cstheme="majorBidi"/>
          <w:color w:val="auto"/>
          <w:sz w:val="20"/>
          <w:szCs w:val="20"/>
        </w:rPr>
        <w:t xml:space="preserve">The Basic Activity of Daily Living (ADL) is an assessment tool used to evaluate an individual’s ability to independently perform basic self-care activities necessary for daily living and is commonly employed in older adults and individuals with disabilities. BADL typically comprises a set of fundamental activities, and individuals are evaluated based on their ability to perform these activities. </w:t>
      </w:r>
      <w:r w:rsidR="00536B92" w:rsidRPr="00536B92">
        <w:rPr>
          <w:rFonts w:asciiTheme="majorBidi" w:hAnsiTheme="majorBidi" w:cstheme="majorBidi"/>
          <w:color w:val="auto"/>
          <w:sz w:val="20"/>
          <w:szCs w:val="20"/>
        </w:rPr>
        <w:t xml:space="preserve">The BADL scale consists of 8 items, each scored from 0 to -2. Patients were categorized as independent (12–18), needing help (8-11), or dependent (0–7). The IADL score assesses more complex activities that contribute to independent living. It includes managing finances, meal </w:t>
      </w:r>
      <w:r w:rsidR="00536B92" w:rsidRPr="00536B92">
        <w:rPr>
          <w:rFonts w:asciiTheme="majorBidi" w:hAnsiTheme="majorBidi" w:cstheme="majorBidi"/>
          <w:color w:val="auto"/>
          <w:sz w:val="20"/>
          <w:szCs w:val="20"/>
        </w:rPr>
        <w:lastRenderedPageBreak/>
        <w:t xml:space="preserve">preparation, housekeeping, shopping, and medication management. It consists of 7 items, each scored using a scale (0–2). Accordingly, patients were considered independent (11–14), needed help (7-10), or dependent (0–6). The content validity index was greater than 0.82 for BADLs and IADLs in Persian. The sensitivity and specificity of the BADL and IADL were 0.75 and 0.96, respectively, and </w:t>
      </w:r>
      <w:proofErr w:type="spellStart"/>
      <w:r w:rsidR="00536B92" w:rsidRPr="00536B92">
        <w:rPr>
          <w:rFonts w:asciiTheme="majorBidi" w:hAnsiTheme="majorBidi" w:cstheme="majorBidi"/>
          <w:color w:val="auto"/>
          <w:sz w:val="20"/>
          <w:szCs w:val="20"/>
        </w:rPr>
        <w:t>Cronbach’s</w:t>
      </w:r>
      <w:proofErr w:type="spellEnd"/>
      <w:r w:rsidR="00536B92" w:rsidRPr="00536B92">
        <w:rPr>
          <w:rFonts w:asciiTheme="majorBidi" w:hAnsiTheme="majorBidi" w:cstheme="majorBidi"/>
          <w:color w:val="auto"/>
          <w:sz w:val="20"/>
          <w:szCs w:val="20"/>
        </w:rPr>
        <w:t xml:space="preserve"> alpha was more than 0.75 [34]. </w:t>
      </w:r>
    </w:p>
    <w:p w:rsidR="00536B92" w:rsidRPr="00536B92" w:rsidRDefault="00536B92" w:rsidP="00536B92">
      <w:pPr>
        <w:spacing w:after="215"/>
        <w:ind w:left="-15" w:right="0"/>
        <w:rPr>
          <w:rFonts w:asciiTheme="majorBidi" w:hAnsiTheme="majorBidi" w:cstheme="majorBidi"/>
          <w:color w:val="auto"/>
          <w:sz w:val="20"/>
          <w:szCs w:val="20"/>
        </w:rPr>
      </w:pPr>
      <w:r w:rsidRPr="00536B92">
        <w:rPr>
          <w:rFonts w:asciiTheme="majorBidi" w:hAnsiTheme="majorBidi" w:cstheme="majorBidi"/>
          <w:i/>
          <w:color w:val="auto"/>
          <w:sz w:val="20"/>
          <w:szCs w:val="20"/>
        </w:rPr>
        <w:t>2.4. Inflammatory marker assessment</w:t>
      </w:r>
      <w:r>
        <w:rPr>
          <w:rFonts w:asciiTheme="majorBidi" w:hAnsiTheme="majorBidi" w:cstheme="majorBidi"/>
          <w:i/>
          <w:color w:val="auto"/>
          <w:sz w:val="20"/>
          <w:szCs w:val="20"/>
        </w:rPr>
        <w:t>:</w:t>
      </w:r>
      <w:r w:rsidRPr="00536B92">
        <w:rPr>
          <w:rFonts w:asciiTheme="majorBidi" w:hAnsiTheme="majorBidi" w:cstheme="majorBidi"/>
          <w:i/>
          <w:color w:val="auto"/>
          <w:sz w:val="20"/>
          <w:szCs w:val="20"/>
        </w:rPr>
        <w:t xml:space="preserve"> </w:t>
      </w:r>
      <w:r w:rsidRPr="00536B92">
        <w:rPr>
          <w:rFonts w:asciiTheme="majorBidi" w:hAnsiTheme="majorBidi" w:cstheme="majorBidi"/>
          <w:color w:val="auto"/>
          <w:sz w:val="20"/>
          <w:szCs w:val="20"/>
        </w:rPr>
        <w:t xml:space="preserve">Upon admission, a serum sample was obtained, and inflammatory marker (ESR, CRP, D-dimer, LDH, and CPK) levels were measured. CPK and LDH were analyzed by the HITACHI 902 instrument based on the instruction of the </w:t>
      </w:r>
      <w:proofErr w:type="spellStart"/>
      <w:r w:rsidRPr="00536B92">
        <w:rPr>
          <w:rFonts w:asciiTheme="majorBidi" w:hAnsiTheme="majorBidi" w:cstheme="majorBidi"/>
          <w:color w:val="auto"/>
          <w:sz w:val="20"/>
          <w:szCs w:val="20"/>
        </w:rPr>
        <w:t>Bioinks</w:t>
      </w:r>
      <w:proofErr w:type="spellEnd"/>
      <w:r w:rsidRPr="00536B92">
        <w:rPr>
          <w:rFonts w:asciiTheme="majorBidi" w:hAnsiTheme="majorBidi" w:cstheme="majorBidi"/>
          <w:color w:val="auto"/>
          <w:sz w:val="20"/>
          <w:szCs w:val="20"/>
        </w:rPr>
        <w:t xml:space="preserve"> Kit with lot no. 140805 for CPK and 141938 for LDH. Moreover, ESR was determined by using the automated ESR analysis instrument (</w:t>
      </w:r>
      <w:proofErr w:type="spellStart"/>
      <w:r w:rsidRPr="00536B92">
        <w:rPr>
          <w:rFonts w:asciiTheme="majorBidi" w:hAnsiTheme="majorBidi" w:cstheme="majorBidi"/>
          <w:color w:val="auto"/>
          <w:sz w:val="20"/>
          <w:szCs w:val="20"/>
        </w:rPr>
        <w:t>Therma</w:t>
      </w:r>
      <w:proofErr w:type="spellEnd"/>
      <w:r w:rsidRPr="00536B92">
        <w:rPr>
          <w:rFonts w:asciiTheme="majorBidi" w:hAnsiTheme="majorBidi" w:cstheme="majorBidi"/>
          <w:color w:val="auto"/>
          <w:sz w:val="20"/>
          <w:szCs w:val="20"/>
        </w:rPr>
        <w:t xml:space="preserve">). CRP was evaluated based on the Unit kit using the BT3000 </w:t>
      </w:r>
      <w:proofErr w:type="spellStart"/>
      <w:r w:rsidRPr="00536B92">
        <w:rPr>
          <w:rFonts w:asciiTheme="majorBidi" w:hAnsiTheme="majorBidi" w:cstheme="majorBidi"/>
          <w:color w:val="auto"/>
          <w:sz w:val="20"/>
          <w:szCs w:val="20"/>
        </w:rPr>
        <w:t>Autoanalyser</w:t>
      </w:r>
      <w:proofErr w:type="spellEnd"/>
      <w:r w:rsidRPr="00536B92">
        <w:rPr>
          <w:rFonts w:asciiTheme="majorBidi" w:hAnsiTheme="majorBidi" w:cstheme="majorBidi"/>
          <w:color w:val="auto"/>
          <w:sz w:val="20"/>
          <w:szCs w:val="20"/>
        </w:rPr>
        <w:t xml:space="preserve"> instrument. According to the kit, CRP had a cut of that less than 6 has been considered as negative, and more than 6 was positive. This point was the same as D-dimer. So, we tested it using the </w:t>
      </w:r>
      <w:proofErr w:type="spellStart"/>
      <w:r w:rsidRPr="00536B92">
        <w:rPr>
          <w:rFonts w:asciiTheme="majorBidi" w:hAnsiTheme="majorBidi" w:cstheme="majorBidi"/>
          <w:color w:val="auto"/>
          <w:sz w:val="20"/>
          <w:szCs w:val="20"/>
        </w:rPr>
        <w:t>Stago</w:t>
      </w:r>
      <w:proofErr w:type="spellEnd"/>
      <w:r w:rsidRPr="00536B92">
        <w:rPr>
          <w:rFonts w:asciiTheme="majorBidi" w:hAnsiTheme="majorBidi" w:cstheme="majorBidi"/>
          <w:color w:val="auto"/>
          <w:sz w:val="20"/>
          <w:szCs w:val="20"/>
        </w:rPr>
        <w:t xml:space="preserve"> instrument, and the amount of more than 500 was considered positive, and less than 500 was negative. </w:t>
      </w:r>
    </w:p>
    <w:p w:rsidR="00536B92" w:rsidRPr="00536B92" w:rsidRDefault="00536B92" w:rsidP="00536B92">
      <w:pPr>
        <w:spacing w:after="207"/>
        <w:ind w:left="-15" w:right="0"/>
        <w:rPr>
          <w:rFonts w:asciiTheme="majorBidi" w:hAnsiTheme="majorBidi" w:cstheme="majorBidi"/>
          <w:color w:val="auto"/>
          <w:sz w:val="20"/>
          <w:szCs w:val="20"/>
        </w:rPr>
      </w:pPr>
      <w:r>
        <w:rPr>
          <w:rFonts w:asciiTheme="majorBidi" w:hAnsiTheme="majorBidi" w:cstheme="majorBidi"/>
          <w:i/>
          <w:color w:val="auto"/>
          <w:sz w:val="20"/>
          <w:szCs w:val="20"/>
        </w:rPr>
        <w:t xml:space="preserve">2.5. Statistical analysis: </w:t>
      </w:r>
      <w:r w:rsidRPr="00536B92">
        <w:rPr>
          <w:rFonts w:asciiTheme="majorBidi" w:hAnsiTheme="majorBidi" w:cstheme="majorBidi"/>
          <w:color w:val="auto"/>
          <w:sz w:val="20"/>
          <w:szCs w:val="20"/>
        </w:rPr>
        <w:t>Statistical Package for the Social Sciences (SPSS) Version 24 (IBM Corp., Armonk, N.Y., USA) was used for the statistical analyses. The normality of the data was checked using the Kolmogorov</w:t>
      </w:r>
      <w:r w:rsidRPr="00536B92">
        <w:rPr>
          <w:rFonts w:asciiTheme="majorBidi" w:eastAsia="Segoe UI Symbol" w:hAnsiTheme="majorBidi" w:cstheme="majorBidi"/>
          <w:color w:val="auto"/>
          <w:sz w:val="20"/>
          <w:szCs w:val="20"/>
        </w:rPr>
        <w:t>‒</w:t>
      </w:r>
      <w:r w:rsidRPr="00536B92">
        <w:rPr>
          <w:rFonts w:asciiTheme="majorBidi" w:hAnsiTheme="majorBidi" w:cstheme="majorBidi"/>
          <w:color w:val="auto"/>
          <w:sz w:val="20"/>
          <w:szCs w:val="20"/>
        </w:rPr>
        <w:t xml:space="preserve">Smirnov test. An alpha level of P </w:t>
      </w:r>
      <w:r w:rsidRPr="00536B92">
        <w:rPr>
          <w:rFonts w:asciiTheme="majorBidi" w:hAnsiTheme="majorBidi" w:cstheme="majorBidi"/>
          <w:i/>
          <w:color w:val="auto"/>
          <w:sz w:val="20"/>
          <w:szCs w:val="20"/>
        </w:rPr>
        <w:t xml:space="preserve">&lt; </w:t>
      </w:r>
      <w:r w:rsidRPr="00536B92">
        <w:rPr>
          <w:rFonts w:asciiTheme="majorBidi" w:hAnsiTheme="majorBidi" w:cstheme="majorBidi"/>
          <w:color w:val="auto"/>
          <w:sz w:val="20"/>
          <w:szCs w:val="20"/>
        </w:rPr>
        <w:t xml:space="preserve">0.05 was considered to indicate statistical significance. Quantitative variables are presented as the mean and standard deviation. The Repeated Measures ANOVA and the </w:t>
      </w:r>
      <w:proofErr w:type="spellStart"/>
      <w:r w:rsidRPr="00536B92">
        <w:rPr>
          <w:rFonts w:asciiTheme="majorBidi" w:hAnsiTheme="majorBidi" w:cstheme="majorBidi"/>
          <w:color w:val="auto"/>
          <w:sz w:val="20"/>
          <w:szCs w:val="20"/>
        </w:rPr>
        <w:t>Bonferroni</w:t>
      </w:r>
      <w:proofErr w:type="spellEnd"/>
      <w:r w:rsidRPr="00536B92">
        <w:rPr>
          <w:rFonts w:asciiTheme="majorBidi" w:hAnsiTheme="majorBidi" w:cstheme="majorBidi"/>
          <w:color w:val="auto"/>
          <w:sz w:val="20"/>
          <w:szCs w:val="20"/>
        </w:rPr>
        <w:t xml:space="preserve"> post hoc test was used to compare the cognitive status, psychological function, BADL, and IADL of patients over time including at discharge, and 1 month and 3 months after discharge. The correlation between anxiety/ depression and cognition was assessed using the Pearson correlation. Pearson correlation was used to investigate the associations between cognitive function and parametric inflammatory indices. Quantitative variables of D-dimer and CRP were reported as Binary and Categorical (positive and negative), so the non-parametric Mann-Whitney test was used to compare the quantitative values between the two groups (Comparison of cognitive scores between two groups whose laboratory values were reported as positive or negative). </w:t>
      </w:r>
    </w:p>
    <w:p w:rsidR="001F47D8" w:rsidRPr="00536B92" w:rsidRDefault="001F47D8">
      <w:pPr>
        <w:spacing w:after="209" w:line="259" w:lineRule="auto"/>
        <w:ind w:left="-5" w:right="0" w:hanging="10"/>
        <w:jc w:val="left"/>
        <w:rPr>
          <w:rFonts w:asciiTheme="majorBidi" w:hAnsiTheme="majorBidi" w:cstheme="majorBidi"/>
          <w:color w:val="auto"/>
          <w:sz w:val="20"/>
          <w:szCs w:val="20"/>
        </w:rPr>
      </w:pPr>
    </w:p>
    <w:p w:rsidR="00536B92" w:rsidRPr="00536B92" w:rsidRDefault="00536B92" w:rsidP="00536B92">
      <w:pPr>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Results:</w:t>
      </w:r>
      <w:r>
        <w:rPr>
          <w:rFonts w:asciiTheme="majorBidi" w:hAnsiTheme="majorBidi" w:cstheme="majorBidi"/>
          <w:color w:val="auto"/>
          <w:sz w:val="20"/>
          <w:szCs w:val="20"/>
        </w:rPr>
        <w:t xml:space="preserve"> </w:t>
      </w:r>
      <w:r w:rsidRPr="00536B92">
        <w:rPr>
          <w:rFonts w:asciiTheme="majorBidi" w:hAnsiTheme="majorBidi" w:cstheme="majorBidi"/>
          <w:color w:val="auto"/>
          <w:sz w:val="20"/>
          <w:szCs w:val="20"/>
        </w:rPr>
        <w:t xml:space="preserve">The average age of the participants was 68 ± 6.94 years. Our analysis includes a total number of 177 participants, with 94 males and 71 females. The demographic characteristics of the patients are summarized in Table 1. The samples were consistent at different measurement times. The results of repeated measures analysis for the cognitive and psychiatric assessments are presented in Table 2.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A post hoc pairwise comparison using the </w:t>
      </w:r>
      <w:proofErr w:type="spellStart"/>
      <w:r w:rsidRPr="00536B92">
        <w:rPr>
          <w:rFonts w:asciiTheme="majorBidi" w:hAnsiTheme="majorBidi" w:cstheme="majorBidi"/>
          <w:color w:val="auto"/>
          <w:sz w:val="20"/>
          <w:szCs w:val="20"/>
        </w:rPr>
        <w:t>Bonferroni</w:t>
      </w:r>
      <w:proofErr w:type="spellEnd"/>
      <w:r w:rsidRPr="00536B92">
        <w:rPr>
          <w:rFonts w:asciiTheme="majorBidi" w:hAnsiTheme="majorBidi" w:cstheme="majorBidi"/>
          <w:color w:val="auto"/>
          <w:sz w:val="20"/>
          <w:szCs w:val="20"/>
        </w:rPr>
        <w:t xml:space="preserve"> correction showed a significant difference between the mean scores of the GPCOG- P at discharge and 1 and 3 months later. The mean GPCOG-P score increased over 3 months. There was a significant difference between the mean GPCOG-I score and IADL score at discharge and three months later. The GPCOG-I and IADL scores of the participants showed significant improvement after three months. Nonetheless, the analysis revealed no significant variation in the GPCOG-I scores between months 1 and 3, nor in the IADL scores across the same timeframe. For anxiety scores, there was a difference between the mean scores at the time of discharge and the third month and between the first and third months, but there was no significant difference between the mean anxiety scores at discharge and the first month. Overall, the mean anxiety scores of the participants decreased after three months. There was no significant difference in depression scores throughout the study. The mean scores for BADL remained relatively stable during the study. In summary, these results suggest that there are significant improvements in cognitive functioning (GPCOG-P and GPCOG-I scores), anxiety levels, and IADL over time (p </w:t>
      </w:r>
      <w:r w:rsidRPr="00536B92">
        <w:rPr>
          <w:rFonts w:asciiTheme="majorBidi" w:hAnsiTheme="majorBidi" w:cstheme="majorBidi"/>
          <w:i/>
          <w:color w:val="auto"/>
          <w:sz w:val="20"/>
          <w:szCs w:val="20"/>
        </w:rPr>
        <w:t xml:space="preserve">&lt; </w:t>
      </w:r>
      <w:r w:rsidRPr="00536B92">
        <w:rPr>
          <w:rFonts w:asciiTheme="majorBidi" w:hAnsiTheme="majorBidi" w:cstheme="majorBidi"/>
          <w:color w:val="auto"/>
          <w:sz w:val="20"/>
          <w:szCs w:val="20"/>
        </w:rPr>
        <w:t xml:space="preserve">0.001). However, there were no significant changes in depression or basic activities of daily living (Table 2).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Table 3 summarizes the correlations between LDH levels, the ESR, and CPK levels and the cognitive function of patients at hospital discharge (GPCOG-P</w:t>
      </w:r>
      <w:r w:rsidRPr="00536B92">
        <w:rPr>
          <w:rFonts w:asciiTheme="majorBidi" w:hAnsiTheme="majorBidi" w:cstheme="majorBidi"/>
          <w:color w:val="auto"/>
          <w:sz w:val="20"/>
          <w:szCs w:val="20"/>
          <w:vertAlign w:val="subscript"/>
        </w:rPr>
        <w:t>0</w:t>
      </w:r>
      <w:r w:rsidRPr="00536B92">
        <w:rPr>
          <w:rFonts w:asciiTheme="majorBidi" w:hAnsiTheme="majorBidi" w:cstheme="majorBidi"/>
          <w:color w:val="auto"/>
          <w:sz w:val="20"/>
          <w:szCs w:val="20"/>
        </w:rPr>
        <w:t>, GPCOG-I</w:t>
      </w:r>
      <w:r w:rsidRPr="00536B92">
        <w:rPr>
          <w:rFonts w:asciiTheme="majorBidi" w:hAnsiTheme="majorBidi" w:cstheme="majorBidi"/>
          <w:color w:val="auto"/>
          <w:sz w:val="20"/>
          <w:szCs w:val="20"/>
          <w:vertAlign w:val="subscript"/>
        </w:rPr>
        <w:t>0</w:t>
      </w:r>
      <w:r w:rsidRPr="00536B92">
        <w:rPr>
          <w:rFonts w:asciiTheme="majorBidi" w:hAnsiTheme="majorBidi" w:cstheme="majorBidi"/>
          <w:color w:val="auto"/>
          <w:sz w:val="20"/>
          <w:szCs w:val="20"/>
        </w:rPr>
        <w:t>), 1 month later (GPCOG-P</w:t>
      </w:r>
      <w:r w:rsidRPr="00536B92">
        <w:rPr>
          <w:rFonts w:asciiTheme="majorBidi" w:hAnsiTheme="majorBidi" w:cstheme="majorBidi"/>
          <w:color w:val="auto"/>
          <w:sz w:val="20"/>
          <w:szCs w:val="20"/>
          <w:vertAlign w:val="subscript"/>
        </w:rPr>
        <w:t>1</w:t>
      </w:r>
      <w:r w:rsidRPr="00536B92">
        <w:rPr>
          <w:rFonts w:asciiTheme="majorBidi" w:hAnsiTheme="majorBidi" w:cstheme="majorBidi"/>
          <w:color w:val="auto"/>
          <w:sz w:val="20"/>
          <w:szCs w:val="20"/>
        </w:rPr>
        <w:t>, GPCOG- I</w:t>
      </w:r>
      <w:r w:rsidRPr="00536B92">
        <w:rPr>
          <w:rFonts w:asciiTheme="majorBidi" w:hAnsiTheme="majorBidi" w:cstheme="majorBidi"/>
          <w:color w:val="auto"/>
          <w:sz w:val="20"/>
          <w:szCs w:val="20"/>
          <w:vertAlign w:val="subscript"/>
        </w:rPr>
        <w:t>1</w:t>
      </w:r>
      <w:r w:rsidRPr="00536B92">
        <w:rPr>
          <w:rFonts w:asciiTheme="majorBidi" w:hAnsiTheme="majorBidi" w:cstheme="majorBidi"/>
          <w:color w:val="auto"/>
          <w:sz w:val="20"/>
          <w:szCs w:val="20"/>
        </w:rPr>
        <w:t>), and 3 months later (GPCOG-P</w:t>
      </w:r>
      <w:r w:rsidRPr="00536B92">
        <w:rPr>
          <w:rFonts w:asciiTheme="majorBidi" w:hAnsiTheme="majorBidi" w:cstheme="majorBidi"/>
          <w:color w:val="auto"/>
          <w:sz w:val="20"/>
          <w:szCs w:val="20"/>
          <w:vertAlign w:val="subscript"/>
        </w:rPr>
        <w:t>3</w:t>
      </w:r>
      <w:r w:rsidRPr="00536B92">
        <w:rPr>
          <w:rFonts w:asciiTheme="majorBidi" w:hAnsiTheme="majorBidi" w:cstheme="majorBidi"/>
          <w:color w:val="auto"/>
          <w:sz w:val="20"/>
          <w:szCs w:val="20"/>
        </w:rPr>
        <w:t>, GPCOG-I</w:t>
      </w:r>
      <w:r w:rsidRPr="00536B92">
        <w:rPr>
          <w:rFonts w:asciiTheme="majorBidi" w:hAnsiTheme="majorBidi" w:cstheme="majorBidi"/>
          <w:color w:val="auto"/>
          <w:sz w:val="20"/>
          <w:szCs w:val="20"/>
          <w:vertAlign w:val="subscript"/>
        </w:rPr>
        <w:t>3</w:t>
      </w:r>
      <w:r w:rsidRPr="00536B92">
        <w:rPr>
          <w:rFonts w:asciiTheme="majorBidi" w:hAnsiTheme="majorBidi" w:cstheme="majorBidi"/>
          <w:color w:val="auto"/>
          <w:sz w:val="20"/>
          <w:szCs w:val="20"/>
        </w:rPr>
        <w:t xml:space="preserve">) according to Pearson correlation analysis.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results indicate that LDH is significantly correlated with cognitive function scores and that higher LDH levels are associated with lower cognitive function. Moreover, the ESR and CPK did not significantly correlate with cognitive function.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A comparison of the mean cognitive indices according to CRP and D- dimer levels using Mann</w:t>
      </w:r>
      <w:r w:rsidRPr="00536B92">
        <w:rPr>
          <w:rFonts w:asciiTheme="majorBidi" w:eastAsia="Segoe UI Symbol" w:hAnsiTheme="majorBidi" w:cstheme="majorBidi"/>
          <w:color w:val="auto"/>
          <w:sz w:val="20"/>
          <w:szCs w:val="20"/>
        </w:rPr>
        <w:t>‒</w:t>
      </w:r>
      <w:r w:rsidRPr="00536B92">
        <w:rPr>
          <w:rFonts w:asciiTheme="majorBidi" w:hAnsiTheme="majorBidi" w:cstheme="majorBidi"/>
          <w:color w:val="auto"/>
          <w:sz w:val="20"/>
          <w:szCs w:val="20"/>
        </w:rPr>
        <w:t xml:space="preserve">Whitney U analysis also revealed that the cognitive score was significantly greater in patients with negative D- dimer and/or negative C-reactive protein (CRP) levels than in patients with positive D-dimer and/or CRP levels. The results are summarized in Table 4. </w:t>
      </w:r>
    </w:p>
    <w:p w:rsidR="001F47D8" w:rsidRPr="00536B92" w:rsidRDefault="00860896">
      <w:pPr>
        <w:spacing w:after="304"/>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Table 5 reveals the correlations between age, depression, anxiety, cognitive function, and functional ability. Age was positively correlated with depression and anxiety scores. Better cognitive function (higher scores on GPCOG) was correlated with less anxiety and less depression (lower scores on Hospital Anxiety and Depression Scale). Better </w:t>
      </w:r>
    </w:p>
    <w:p w:rsidR="001F47D8" w:rsidRPr="00536B92" w:rsidRDefault="00860896">
      <w:pPr>
        <w:spacing w:after="2" w:line="259" w:lineRule="auto"/>
        <w:ind w:left="-5" w:right="0" w:hanging="1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Table 1 </w:t>
      </w:r>
    </w:p>
    <w:p w:rsidR="001F47D8" w:rsidRPr="00536B92" w:rsidRDefault="00860896">
      <w:pPr>
        <w:spacing w:line="265" w:lineRule="auto"/>
        <w:ind w:left="-4" w:right="32" w:hanging="1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Demographic characteristics of patients at hospital discharge.  </w:t>
      </w:r>
    </w:p>
    <w:tbl>
      <w:tblPr>
        <w:tblStyle w:val="TableGrid"/>
        <w:tblW w:w="5021" w:type="dxa"/>
        <w:tblInd w:w="0" w:type="dxa"/>
        <w:tblCellMar>
          <w:right w:w="83" w:type="dxa"/>
        </w:tblCellMar>
        <w:tblLook w:val="04A0" w:firstRow="1" w:lastRow="0" w:firstColumn="1" w:lastColumn="0" w:noHBand="0" w:noVBand="1"/>
      </w:tblPr>
      <w:tblGrid>
        <w:gridCol w:w="1771"/>
        <w:gridCol w:w="1901"/>
        <w:gridCol w:w="816"/>
        <w:gridCol w:w="533"/>
      </w:tblGrid>
      <w:tr w:rsidR="00536B92" w:rsidRPr="00536B92">
        <w:trPr>
          <w:trHeight w:val="263"/>
        </w:trPr>
        <w:tc>
          <w:tcPr>
            <w:tcW w:w="1796" w:type="dxa"/>
            <w:tcBorders>
              <w:top w:val="single" w:sz="4" w:space="0" w:color="000000"/>
              <w:left w:val="nil"/>
              <w:bottom w:val="single" w:sz="4" w:space="0" w:color="000000"/>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lastRenderedPageBreak/>
              <w:t xml:space="preserve">Variable  </w:t>
            </w:r>
          </w:p>
        </w:tc>
        <w:tc>
          <w:tcPr>
            <w:tcW w:w="1947" w:type="dxa"/>
            <w:tcBorders>
              <w:top w:val="single" w:sz="4" w:space="0" w:color="000000"/>
              <w:left w:val="nil"/>
              <w:bottom w:val="single" w:sz="4" w:space="0" w:color="000000"/>
              <w:right w:val="nil"/>
            </w:tcBorders>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836"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N </w:t>
            </w:r>
          </w:p>
        </w:tc>
        <w:tc>
          <w:tcPr>
            <w:tcW w:w="443"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w:t>
            </w:r>
          </w:p>
        </w:tc>
      </w:tr>
      <w:tr w:rsidR="00536B92" w:rsidRPr="00536B92">
        <w:trPr>
          <w:trHeight w:val="216"/>
        </w:trPr>
        <w:tc>
          <w:tcPr>
            <w:tcW w:w="1796" w:type="dxa"/>
            <w:tcBorders>
              <w:top w:val="single" w:sz="4" w:space="0" w:color="000000"/>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Gender </w:t>
            </w:r>
          </w:p>
        </w:tc>
        <w:tc>
          <w:tcPr>
            <w:tcW w:w="1947"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Male </w:t>
            </w:r>
          </w:p>
        </w:tc>
        <w:tc>
          <w:tcPr>
            <w:tcW w:w="836"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71 </w:t>
            </w:r>
          </w:p>
        </w:tc>
        <w:tc>
          <w:tcPr>
            <w:tcW w:w="443"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o.40 </w:t>
            </w:r>
          </w:p>
        </w:tc>
      </w:tr>
      <w:tr w:rsidR="00536B92" w:rsidRPr="00536B92">
        <w:trPr>
          <w:trHeight w:val="171"/>
        </w:trPr>
        <w:tc>
          <w:tcPr>
            <w:tcW w:w="1796" w:type="dxa"/>
            <w:tcBorders>
              <w:top w:val="nil"/>
              <w:left w:val="nil"/>
              <w:bottom w:val="nil"/>
              <w:right w:val="nil"/>
            </w:tcBorders>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Female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94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0.53 </w:t>
            </w:r>
          </w:p>
        </w:tc>
      </w:tr>
      <w:tr w:rsidR="00536B92" w:rsidRPr="00536B92">
        <w:trPr>
          <w:trHeight w:val="171"/>
        </w:trPr>
        <w:tc>
          <w:tcPr>
            <w:tcW w:w="1796"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Marital status </w:t>
            </w: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Single </w:t>
            </w:r>
            <w:r w:rsidRPr="00536B92">
              <w:rPr>
                <w:rFonts w:asciiTheme="majorBidi" w:eastAsia="Times New Roman" w:hAnsiTheme="majorBidi" w:cstheme="majorBidi"/>
                <w:color w:val="auto"/>
                <w:sz w:val="20"/>
                <w:szCs w:val="20"/>
              </w:rPr>
              <w:t xml:space="preserve">&amp; </w:t>
            </w:r>
            <w:r w:rsidRPr="00536B92">
              <w:rPr>
                <w:rFonts w:asciiTheme="majorBidi" w:hAnsiTheme="majorBidi" w:cstheme="majorBidi"/>
                <w:color w:val="auto"/>
                <w:sz w:val="20"/>
                <w:szCs w:val="20"/>
              </w:rPr>
              <w:t xml:space="preserve">Widowed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124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70.05 </w:t>
            </w:r>
          </w:p>
        </w:tc>
      </w:tr>
      <w:tr w:rsidR="00536B92" w:rsidRPr="00536B92">
        <w:trPr>
          <w:trHeight w:val="171"/>
        </w:trPr>
        <w:tc>
          <w:tcPr>
            <w:tcW w:w="1796" w:type="dxa"/>
            <w:tcBorders>
              <w:top w:val="nil"/>
              <w:left w:val="nil"/>
              <w:bottom w:val="nil"/>
              <w:right w:val="nil"/>
            </w:tcBorders>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Married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53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29.9 </w:t>
            </w:r>
          </w:p>
        </w:tc>
      </w:tr>
      <w:tr w:rsidR="00536B92" w:rsidRPr="00536B92">
        <w:trPr>
          <w:trHeight w:val="171"/>
        </w:trPr>
        <w:tc>
          <w:tcPr>
            <w:tcW w:w="1796"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Educational level </w:t>
            </w: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High school Diploma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135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76.3 </w:t>
            </w:r>
          </w:p>
        </w:tc>
      </w:tr>
      <w:tr w:rsidR="00536B92" w:rsidRPr="00536B92">
        <w:trPr>
          <w:trHeight w:val="171"/>
        </w:trPr>
        <w:tc>
          <w:tcPr>
            <w:tcW w:w="1796" w:type="dxa"/>
            <w:tcBorders>
              <w:top w:val="nil"/>
              <w:left w:val="nil"/>
              <w:bottom w:val="nil"/>
              <w:right w:val="nil"/>
            </w:tcBorders>
            <w:vAlign w:val="center"/>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&gt;</w:t>
            </w:r>
            <w:r w:rsidRPr="00536B92">
              <w:rPr>
                <w:rFonts w:asciiTheme="majorBidi" w:hAnsiTheme="majorBidi" w:cstheme="majorBidi"/>
                <w:color w:val="auto"/>
                <w:sz w:val="20"/>
                <w:szCs w:val="20"/>
              </w:rPr>
              <w:t xml:space="preserve">High school Diploma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42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23.7 </w:t>
            </w:r>
          </w:p>
        </w:tc>
      </w:tr>
      <w:tr w:rsidR="00536B92" w:rsidRPr="00536B92">
        <w:trPr>
          <w:trHeight w:val="172"/>
        </w:trPr>
        <w:tc>
          <w:tcPr>
            <w:tcW w:w="1796"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Job </w:t>
            </w:r>
          </w:p>
        </w:tc>
        <w:tc>
          <w:tcPr>
            <w:tcW w:w="1947"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Employed </w:t>
            </w:r>
          </w:p>
        </w:tc>
        <w:tc>
          <w:tcPr>
            <w:tcW w:w="836"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17 </w:t>
            </w:r>
          </w:p>
        </w:tc>
        <w:tc>
          <w:tcPr>
            <w:tcW w:w="443"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9.6 </w:t>
            </w:r>
          </w:p>
        </w:tc>
      </w:tr>
      <w:tr w:rsidR="00536B92" w:rsidRPr="00536B92">
        <w:trPr>
          <w:trHeight w:val="219"/>
        </w:trPr>
        <w:tc>
          <w:tcPr>
            <w:tcW w:w="1796" w:type="dxa"/>
            <w:tcBorders>
              <w:top w:val="nil"/>
              <w:left w:val="nil"/>
              <w:bottom w:val="single" w:sz="4" w:space="0" w:color="000000"/>
              <w:right w:val="nil"/>
            </w:tcBorders>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1947" w:type="dxa"/>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Retired </w:t>
            </w:r>
          </w:p>
        </w:tc>
        <w:tc>
          <w:tcPr>
            <w:tcW w:w="836" w:type="dxa"/>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160 </w:t>
            </w:r>
          </w:p>
        </w:tc>
        <w:tc>
          <w:tcPr>
            <w:tcW w:w="443" w:type="dxa"/>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90.4  </w:t>
            </w:r>
          </w:p>
        </w:tc>
      </w:tr>
    </w:tbl>
    <w:p w:rsidR="00536B92" w:rsidRDefault="00536B92">
      <w:pPr>
        <w:spacing w:after="2" w:line="259" w:lineRule="auto"/>
        <w:ind w:left="-5" w:right="0" w:hanging="10"/>
        <w:jc w:val="left"/>
        <w:rPr>
          <w:rFonts w:asciiTheme="majorBidi" w:hAnsiTheme="majorBidi" w:cstheme="majorBidi"/>
          <w:b/>
          <w:color w:val="auto"/>
          <w:sz w:val="20"/>
          <w:szCs w:val="20"/>
        </w:rPr>
      </w:pPr>
    </w:p>
    <w:p w:rsidR="00536B92" w:rsidRDefault="00536B92">
      <w:pPr>
        <w:spacing w:after="2" w:line="259" w:lineRule="auto"/>
        <w:ind w:left="-5" w:right="0" w:hanging="10"/>
        <w:jc w:val="left"/>
        <w:rPr>
          <w:rFonts w:asciiTheme="majorBidi" w:hAnsiTheme="majorBidi" w:cstheme="majorBidi"/>
          <w:b/>
          <w:color w:val="auto"/>
          <w:sz w:val="20"/>
          <w:szCs w:val="20"/>
        </w:rPr>
      </w:pPr>
    </w:p>
    <w:p w:rsidR="00536B92" w:rsidRDefault="00536B92">
      <w:pPr>
        <w:spacing w:after="2" w:line="259" w:lineRule="auto"/>
        <w:ind w:left="-5" w:right="0" w:hanging="10"/>
        <w:jc w:val="left"/>
        <w:rPr>
          <w:rFonts w:asciiTheme="majorBidi" w:hAnsiTheme="majorBidi" w:cstheme="majorBidi"/>
          <w:b/>
          <w:color w:val="auto"/>
          <w:sz w:val="20"/>
          <w:szCs w:val="20"/>
        </w:rPr>
      </w:pPr>
    </w:p>
    <w:p w:rsidR="00536B92" w:rsidRDefault="00536B92">
      <w:pPr>
        <w:spacing w:after="2" w:line="259" w:lineRule="auto"/>
        <w:ind w:left="-5" w:right="0" w:hanging="10"/>
        <w:jc w:val="left"/>
        <w:rPr>
          <w:rFonts w:asciiTheme="majorBidi" w:hAnsiTheme="majorBidi" w:cstheme="majorBidi"/>
          <w:b/>
          <w:color w:val="auto"/>
          <w:sz w:val="20"/>
          <w:szCs w:val="20"/>
        </w:rPr>
      </w:pPr>
    </w:p>
    <w:p w:rsidR="00A76678" w:rsidRDefault="00A76678">
      <w:pPr>
        <w:spacing w:after="2" w:line="259" w:lineRule="auto"/>
        <w:ind w:left="-5" w:right="0" w:hanging="10"/>
        <w:jc w:val="left"/>
        <w:rPr>
          <w:rFonts w:asciiTheme="majorBidi" w:hAnsiTheme="majorBidi" w:cstheme="majorBidi"/>
          <w:b/>
          <w:color w:val="auto"/>
          <w:sz w:val="20"/>
          <w:szCs w:val="20"/>
        </w:rPr>
      </w:pPr>
    </w:p>
    <w:p w:rsidR="00A76678" w:rsidRDefault="00A76678">
      <w:pPr>
        <w:spacing w:after="2" w:line="259" w:lineRule="auto"/>
        <w:ind w:left="-5" w:right="0" w:hanging="10"/>
        <w:jc w:val="left"/>
        <w:rPr>
          <w:rFonts w:asciiTheme="majorBidi" w:hAnsiTheme="majorBidi" w:cstheme="majorBidi"/>
          <w:b/>
          <w:color w:val="auto"/>
          <w:sz w:val="20"/>
          <w:szCs w:val="20"/>
        </w:rPr>
      </w:pPr>
    </w:p>
    <w:p w:rsidR="001F47D8" w:rsidRPr="00536B92" w:rsidRDefault="00860896" w:rsidP="00A76678">
      <w:pPr>
        <w:spacing w:after="2" w:line="259" w:lineRule="auto"/>
        <w:ind w:left="-5" w:right="0" w:hanging="1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Table 2</w:t>
      </w:r>
      <w:r w:rsidR="00A76678">
        <w:rPr>
          <w:rFonts w:asciiTheme="majorBidi" w:hAnsiTheme="majorBidi" w:cstheme="majorBidi"/>
          <w:b/>
          <w:color w:val="auto"/>
          <w:sz w:val="20"/>
          <w:szCs w:val="20"/>
        </w:rPr>
        <w:t>:</w:t>
      </w:r>
      <w:r w:rsidRPr="00536B92">
        <w:rPr>
          <w:rFonts w:asciiTheme="majorBidi" w:hAnsiTheme="majorBidi" w:cstheme="majorBidi"/>
          <w:b/>
          <w:color w:val="auto"/>
          <w:sz w:val="20"/>
          <w:szCs w:val="20"/>
        </w:rPr>
        <w:t xml:space="preserve"> </w:t>
      </w:r>
      <w:r w:rsidR="00A76678" w:rsidRPr="00536B92">
        <w:rPr>
          <w:rFonts w:asciiTheme="majorBidi" w:hAnsiTheme="majorBidi" w:cstheme="majorBidi"/>
          <w:color w:val="auto"/>
          <w:sz w:val="20"/>
          <w:szCs w:val="20"/>
        </w:rPr>
        <w:t xml:space="preserve">Results of repeated measures analysis for cognitive (GPCOG-P and GPCOG-I) and psychological assessment.  </w:t>
      </w:r>
    </w:p>
    <w:tbl>
      <w:tblPr>
        <w:tblStyle w:val="TableGrid"/>
        <w:tblW w:w="5021" w:type="dxa"/>
        <w:tblInd w:w="1" w:type="dxa"/>
        <w:tblLook w:val="04A0" w:firstRow="1" w:lastRow="0" w:firstColumn="1" w:lastColumn="0" w:noHBand="0" w:noVBand="1"/>
      </w:tblPr>
      <w:tblGrid>
        <w:gridCol w:w="1088"/>
        <w:gridCol w:w="1081"/>
        <w:gridCol w:w="808"/>
        <w:gridCol w:w="228"/>
        <w:gridCol w:w="1231"/>
        <w:gridCol w:w="585"/>
      </w:tblGrid>
      <w:tr w:rsidR="00536B92" w:rsidRPr="00536B92" w:rsidTr="00A76678">
        <w:trPr>
          <w:trHeight w:val="434"/>
        </w:trPr>
        <w:tc>
          <w:tcPr>
            <w:tcW w:w="1088" w:type="dxa"/>
            <w:tcBorders>
              <w:top w:val="single" w:sz="4" w:space="0" w:color="000000"/>
              <w:left w:val="nil"/>
              <w:bottom w:val="single" w:sz="4" w:space="0" w:color="000000"/>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Variables </w:t>
            </w:r>
          </w:p>
        </w:tc>
        <w:tc>
          <w:tcPr>
            <w:tcW w:w="1081"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Discharge time Mean (±SD) </w:t>
            </w:r>
          </w:p>
        </w:tc>
        <w:tc>
          <w:tcPr>
            <w:tcW w:w="1036" w:type="dxa"/>
            <w:gridSpan w:val="2"/>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After 1 month Mean (±SD) </w:t>
            </w:r>
          </w:p>
        </w:tc>
        <w:tc>
          <w:tcPr>
            <w:tcW w:w="1231"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After 3 months Mean (±SD) </w:t>
            </w:r>
          </w:p>
        </w:tc>
        <w:tc>
          <w:tcPr>
            <w:tcW w:w="585"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P-value </w:t>
            </w:r>
          </w:p>
        </w:tc>
      </w:tr>
      <w:tr w:rsidR="00536B92" w:rsidRPr="00536B92" w:rsidTr="00A76678">
        <w:trPr>
          <w:trHeight w:val="216"/>
        </w:trPr>
        <w:tc>
          <w:tcPr>
            <w:tcW w:w="1088" w:type="dxa"/>
            <w:tcBorders>
              <w:top w:val="single" w:sz="4" w:space="0" w:color="000000"/>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GPCOG-P </w:t>
            </w:r>
          </w:p>
        </w:tc>
        <w:tc>
          <w:tcPr>
            <w:tcW w:w="1081"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4.84 (±2.42) </w:t>
            </w:r>
          </w:p>
        </w:tc>
        <w:tc>
          <w:tcPr>
            <w:tcW w:w="1036" w:type="dxa"/>
            <w:gridSpan w:val="2"/>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5.04 (±2.45) </w:t>
            </w:r>
          </w:p>
        </w:tc>
        <w:tc>
          <w:tcPr>
            <w:tcW w:w="1231"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5.24 (±2.62) </w:t>
            </w:r>
          </w:p>
        </w:tc>
        <w:tc>
          <w:tcPr>
            <w:tcW w:w="585" w:type="dxa"/>
            <w:tcBorders>
              <w:top w:val="single" w:sz="4" w:space="0" w:color="000000"/>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rsidTr="00A76678">
        <w:trPr>
          <w:trHeight w:val="171"/>
        </w:trPr>
        <w:tc>
          <w:tcPr>
            <w:tcW w:w="1088"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GPCOG-I </w:t>
            </w:r>
          </w:p>
        </w:tc>
        <w:tc>
          <w:tcPr>
            <w:tcW w:w="108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2.30 (±2.62) </w:t>
            </w:r>
          </w:p>
        </w:tc>
        <w:tc>
          <w:tcPr>
            <w:tcW w:w="1036" w:type="dxa"/>
            <w:gridSpan w:val="2"/>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2.82 (±2.72) </w:t>
            </w:r>
          </w:p>
        </w:tc>
        <w:tc>
          <w:tcPr>
            <w:tcW w:w="123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2.99 (±2.69) </w:t>
            </w:r>
          </w:p>
        </w:tc>
        <w:tc>
          <w:tcPr>
            <w:tcW w:w="585"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rsidTr="00A76678">
        <w:trPr>
          <w:trHeight w:val="171"/>
        </w:trPr>
        <w:tc>
          <w:tcPr>
            <w:tcW w:w="1088"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Anxiety </w:t>
            </w:r>
          </w:p>
        </w:tc>
        <w:tc>
          <w:tcPr>
            <w:tcW w:w="108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12.97 (±4.41) </w:t>
            </w:r>
          </w:p>
        </w:tc>
        <w:tc>
          <w:tcPr>
            <w:tcW w:w="1036" w:type="dxa"/>
            <w:gridSpan w:val="2"/>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12.50 (±4.90) </w:t>
            </w:r>
          </w:p>
        </w:tc>
        <w:tc>
          <w:tcPr>
            <w:tcW w:w="123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11.53 (±4.62) </w:t>
            </w:r>
          </w:p>
        </w:tc>
        <w:tc>
          <w:tcPr>
            <w:tcW w:w="585"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rsidTr="00A76678">
        <w:trPr>
          <w:trHeight w:val="171"/>
        </w:trPr>
        <w:tc>
          <w:tcPr>
            <w:tcW w:w="1088"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Depression </w:t>
            </w:r>
          </w:p>
        </w:tc>
        <w:tc>
          <w:tcPr>
            <w:tcW w:w="108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6.70 (±4.43) </w:t>
            </w:r>
          </w:p>
        </w:tc>
        <w:tc>
          <w:tcPr>
            <w:tcW w:w="1036" w:type="dxa"/>
            <w:gridSpan w:val="2"/>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6.46 (±4.57) </w:t>
            </w:r>
          </w:p>
        </w:tc>
        <w:tc>
          <w:tcPr>
            <w:tcW w:w="123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6.23 (±4.50) </w:t>
            </w:r>
          </w:p>
        </w:tc>
        <w:tc>
          <w:tcPr>
            <w:tcW w:w="585"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0.12 </w:t>
            </w:r>
          </w:p>
        </w:tc>
      </w:tr>
      <w:tr w:rsidR="00536B92" w:rsidRPr="00536B92" w:rsidTr="00A76678">
        <w:trPr>
          <w:trHeight w:val="171"/>
        </w:trPr>
        <w:tc>
          <w:tcPr>
            <w:tcW w:w="1088" w:type="dxa"/>
            <w:tcBorders>
              <w:top w:val="nil"/>
              <w:left w:val="nil"/>
              <w:bottom w:val="nil"/>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BADL </w:t>
            </w:r>
          </w:p>
        </w:tc>
        <w:tc>
          <w:tcPr>
            <w:tcW w:w="108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14.92 (±1.62) </w:t>
            </w:r>
          </w:p>
        </w:tc>
        <w:tc>
          <w:tcPr>
            <w:tcW w:w="1036" w:type="dxa"/>
            <w:gridSpan w:val="2"/>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14.97 (±1.40) </w:t>
            </w:r>
          </w:p>
        </w:tc>
        <w:tc>
          <w:tcPr>
            <w:tcW w:w="1231"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14.90 (±1.42) </w:t>
            </w:r>
          </w:p>
        </w:tc>
        <w:tc>
          <w:tcPr>
            <w:tcW w:w="585"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0.805 </w:t>
            </w:r>
          </w:p>
        </w:tc>
      </w:tr>
      <w:tr w:rsidR="00536B92" w:rsidRPr="00536B92" w:rsidTr="00A76678">
        <w:trPr>
          <w:trHeight w:val="219"/>
        </w:trPr>
        <w:tc>
          <w:tcPr>
            <w:tcW w:w="1088" w:type="dxa"/>
            <w:tcBorders>
              <w:top w:val="nil"/>
              <w:left w:val="nil"/>
              <w:bottom w:val="single" w:sz="4" w:space="0" w:color="000000"/>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IADL </w:t>
            </w:r>
          </w:p>
        </w:tc>
        <w:tc>
          <w:tcPr>
            <w:tcW w:w="1081" w:type="dxa"/>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12.62 (±2.35) </w:t>
            </w:r>
          </w:p>
        </w:tc>
        <w:tc>
          <w:tcPr>
            <w:tcW w:w="1036" w:type="dxa"/>
            <w:gridSpan w:val="2"/>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13.03 (±1.33) </w:t>
            </w:r>
          </w:p>
        </w:tc>
        <w:tc>
          <w:tcPr>
            <w:tcW w:w="1231" w:type="dxa"/>
            <w:tcBorders>
              <w:top w:val="nil"/>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13.35 (±1.23) </w:t>
            </w:r>
          </w:p>
        </w:tc>
        <w:tc>
          <w:tcPr>
            <w:tcW w:w="585" w:type="dxa"/>
            <w:tcBorders>
              <w:top w:val="nil"/>
              <w:left w:val="nil"/>
              <w:bottom w:val="single" w:sz="4" w:space="0" w:color="000000"/>
              <w:right w:val="nil"/>
            </w:tcBorders>
          </w:tcPr>
          <w:p w:rsidR="001F47D8" w:rsidRPr="00536B92" w:rsidRDefault="00860896">
            <w:pPr>
              <w:spacing w:after="0" w:line="259" w:lineRule="auto"/>
              <w:ind w:right="0" w:firstLine="0"/>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A76678" w:rsidRPr="00536B92" w:rsidTr="00A76678">
        <w:trPr>
          <w:trHeight w:val="865"/>
        </w:trPr>
        <w:tc>
          <w:tcPr>
            <w:tcW w:w="4436" w:type="dxa"/>
            <w:gridSpan w:val="5"/>
            <w:tcBorders>
              <w:top w:val="single" w:sz="4" w:space="0" w:color="000000"/>
              <w:left w:val="nil"/>
              <w:bottom w:val="single" w:sz="4" w:space="0" w:color="000000"/>
              <w:right w:val="nil"/>
            </w:tcBorders>
            <w:vAlign w:val="bottom"/>
          </w:tcPr>
          <w:p w:rsidR="00A76678" w:rsidRDefault="00A76678" w:rsidP="00A76678">
            <w:pPr>
              <w:spacing w:after="0" w:line="259" w:lineRule="auto"/>
              <w:ind w:right="0" w:firstLine="0"/>
              <w:jc w:val="left"/>
              <w:rPr>
                <w:rFonts w:asciiTheme="majorBidi" w:hAnsiTheme="majorBidi" w:cstheme="majorBidi"/>
                <w:b/>
                <w:color w:val="auto"/>
                <w:sz w:val="20"/>
                <w:szCs w:val="20"/>
              </w:rPr>
            </w:pPr>
          </w:p>
          <w:p w:rsidR="00A76678" w:rsidRDefault="00A76678" w:rsidP="00A76678">
            <w:pPr>
              <w:spacing w:after="0" w:line="259" w:lineRule="auto"/>
              <w:ind w:left="-1" w:right="0" w:firstLine="0"/>
              <w:jc w:val="left"/>
              <w:rPr>
                <w:rFonts w:asciiTheme="majorBidi" w:hAnsiTheme="majorBidi" w:cstheme="majorBidi"/>
                <w:b/>
                <w:color w:val="auto"/>
                <w:sz w:val="20"/>
                <w:szCs w:val="20"/>
              </w:rPr>
            </w:pPr>
          </w:p>
          <w:p w:rsidR="00A76678" w:rsidRPr="00536B92" w:rsidRDefault="00A76678" w:rsidP="00A76678">
            <w:pPr>
              <w:spacing w:after="0" w:line="259" w:lineRule="auto"/>
              <w:ind w:left="-1"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Table </w:t>
            </w:r>
            <w:proofErr w:type="gramStart"/>
            <w:r w:rsidRPr="00536B92">
              <w:rPr>
                <w:rFonts w:asciiTheme="majorBidi" w:hAnsiTheme="majorBidi" w:cstheme="majorBidi"/>
                <w:b/>
                <w:color w:val="auto"/>
                <w:sz w:val="20"/>
                <w:szCs w:val="20"/>
              </w:rPr>
              <w:t xml:space="preserve">3 </w:t>
            </w:r>
            <w:r>
              <w:rPr>
                <w:rFonts w:asciiTheme="majorBidi" w:hAnsiTheme="majorBidi" w:cstheme="majorBidi"/>
                <w:b/>
                <w:color w:val="auto"/>
                <w:sz w:val="20"/>
                <w:szCs w:val="20"/>
              </w:rPr>
              <w:t>:</w:t>
            </w:r>
            <w:proofErr w:type="gramEnd"/>
            <w:r w:rsidRPr="00A76678">
              <w:rPr>
                <w:rFonts w:asciiTheme="majorBidi" w:hAnsiTheme="majorBidi" w:cstheme="majorBidi"/>
                <w:color w:val="auto"/>
                <w:sz w:val="20"/>
                <w:szCs w:val="20"/>
              </w:rPr>
              <w:t xml:space="preserve">. </w:t>
            </w:r>
            <w:r w:rsidRPr="00A76678">
              <w:rPr>
                <w:rFonts w:asciiTheme="majorBidi" w:hAnsiTheme="majorBidi" w:cstheme="majorBidi"/>
                <w:color w:val="auto"/>
                <w:sz w:val="20"/>
                <w:szCs w:val="20"/>
              </w:rPr>
              <w:t>Correlation coefficients between inflammatory indices and cognitive function.</w:t>
            </w:r>
          </w:p>
        </w:tc>
        <w:tc>
          <w:tcPr>
            <w:tcW w:w="585" w:type="dxa"/>
            <w:tcBorders>
              <w:top w:val="single" w:sz="4" w:space="0" w:color="000000"/>
              <w:left w:val="nil"/>
              <w:bottom w:val="single" w:sz="4" w:space="0" w:color="000000"/>
              <w:right w:val="nil"/>
            </w:tcBorders>
          </w:tcPr>
          <w:p w:rsidR="00A76678" w:rsidRPr="00536B92" w:rsidRDefault="00A76678">
            <w:pPr>
              <w:spacing w:after="160" w:line="259" w:lineRule="auto"/>
              <w:ind w:right="0" w:firstLine="0"/>
              <w:jc w:val="left"/>
              <w:rPr>
                <w:rFonts w:asciiTheme="majorBidi" w:hAnsiTheme="majorBidi" w:cstheme="majorBidi"/>
                <w:color w:val="auto"/>
                <w:sz w:val="20"/>
                <w:szCs w:val="20"/>
              </w:rPr>
            </w:pPr>
          </w:p>
        </w:tc>
      </w:tr>
      <w:tr w:rsidR="00536B92" w:rsidRPr="00536B92" w:rsidTr="00A76678">
        <w:trPr>
          <w:trHeight w:val="263"/>
        </w:trPr>
        <w:tc>
          <w:tcPr>
            <w:tcW w:w="1088" w:type="dxa"/>
            <w:tcBorders>
              <w:top w:val="single" w:sz="4" w:space="0" w:color="000000"/>
              <w:left w:val="nil"/>
              <w:bottom w:val="single" w:sz="4" w:space="0" w:color="000000"/>
              <w:right w:val="nil"/>
            </w:tcBorders>
          </w:tcPr>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Variables </w:t>
            </w:r>
          </w:p>
        </w:tc>
        <w:tc>
          <w:tcPr>
            <w:tcW w:w="1081" w:type="dxa"/>
            <w:tcBorders>
              <w:top w:val="single" w:sz="4" w:space="0" w:color="000000"/>
              <w:left w:val="nil"/>
              <w:bottom w:val="single" w:sz="4" w:space="0" w:color="000000"/>
              <w:right w:val="nil"/>
            </w:tcBorders>
          </w:tcPr>
          <w:p w:rsidR="001F47D8" w:rsidRPr="00536B92" w:rsidRDefault="00860896">
            <w:pPr>
              <w:spacing w:after="0" w:line="259" w:lineRule="auto"/>
              <w:ind w:left="283" w:right="0" w:firstLine="0"/>
              <w:jc w:val="center"/>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LDH </w:t>
            </w:r>
          </w:p>
        </w:tc>
        <w:tc>
          <w:tcPr>
            <w:tcW w:w="808" w:type="dxa"/>
            <w:tcBorders>
              <w:top w:val="single" w:sz="4" w:space="0" w:color="000000"/>
              <w:left w:val="nil"/>
              <w:bottom w:val="single" w:sz="4" w:space="0" w:color="000000"/>
              <w:right w:val="nil"/>
            </w:tcBorders>
          </w:tcPr>
          <w:p w:rsidR="001F47D8" w:rsidRPr="00536B92" w:rsidRDefault="001F47D8">
            <w:pPr>
              <w:spacing w:after="160" w:line="259" w:lineRule="auto"/>
              <w:ind w:right="0" w:firstLine="0"/>
              <w:jc w:val="left"/>
              <w:rPr>
                <w:rFonts w:asciiTheme="majorBidi" w:hAnsiTheme="majorBidi" w:cstheme="majorBidi"/>
                <w:color w:val="auto"/>
                <w:sz w:val="20"/>
                <w:szCs w:val="20"/>
              </w:rPr>
            </w:pPr>
          </w:p>
        </w:tc>
        <w:tc>
          <w:tcPr>
            <w:tcW w:w="1459" w:type="dxa"/>
            <w:gridSpan w:val="2"/>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ESR </w:t>
            </w:r>
          </w:p>
        </w:tc>
        <w:tc>
          <w:tcPr>
            <w:tcW w:w="585" w:type="dxa"/>
            <w:tcBorders>
              <w:top w:val="single" w:sz="4" w:space="0" w:color="000000"/>
              <w:left w:val="nil"/>
              <w:bottom w:val="single" w:sz="4" w:space="0" w:color="000000"/>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CPK </w:t>
            </w:r>
          </w:p>
        </w:tc>
      </w:tr>
      <w:tr w:rsidR="00536B92" w:rsidRPr="00536B92" w:rsidTr="00A76678">
        <w:trPr>
          <w:trHeight w:val="1120"/>
        </w:trPr>
        <w:tc>
          <w:tcPr>
            <w:tcW w:w="1088" w:type="dxa"/>
            <w:tcBorders>
              <w:top w:val="single" w:sz="4" w:space="0" w:color="000000"/>
              <w:left w:val="nil"/>
              <w:bottom w:val="single" w:sz="4" w:space="0" w:color="000000"/>
              <w:right w:val="nil"/>
            </w:tcBorders>
          </w:tcPr>
          <w:p w:rsidR="001F47D8" w:rsidRPr="00536B92" w:rsidRDefault="00860896">
            <w:pPr>
              <w:spacing w:after="17"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GPCOG-P</w:t>
            </w:r>
            <w:r w:rsidRPr="00536B92">
              <w:rPr>
                <w:rFonts w:asciiTheme="majorBidi" w:hAnsiTheme="majorBidi" w:cstheme="majorBidi"/>
                <w:color w:val="auto"/>
                <w:sz w:val="20"/>
                <w:szCs w:val="20"/>
                <w:vertAlign w:val="subscript"/>
              </w:rPr>
              <w:t xml:space="preserve">0 </w:t>
            </w:r>
          </w:p>
          <w:p w:rsidR="001F47D8" w:rsidRPr="00536B92" w:rsidRDefault="00860896">
            <w:pPr>
              <w:spacing w:after="16"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GPCOG-I</w:t>
            </w:r>
            <w:r w:rsidRPr="00536B92">
              <w:rPr>
                <w:rFonts w:asciiTheme="majorBidi" w:hAnsiTheme="majorBidi" w:cstheme="majorBidi"/>
                <w:color w:val="auto"/>
                <w:sz w:val="20"/>
                <w:szCs w:val="20"/>
                <w:vertAlign w:val="subscript"/>
              </w:rPr>
              <w:t xml:space="preserve">0 </w:t>
            </w:r>
          </w:p>
          <w:p w:rsidR="001F47D8" w:rsidRPr="00536B92" w:rsidRDefault="00860896">
            <w:pPr>
              <w:spacing w:after="17"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GPCOG-P</w:t>
            </w:r>
            <w:r w:rsidRPr="00536B92">
              <w:rPr>
                <w:rFonts w:asciiTheme="majorBidi" w:hAnsiTheme="majorBidi" w:cstheme="majorBidi"/>
                <w:color w:val="auto"/>
                <w:sz w:val="20"/>
                <w:szCs w:val="20"/>
                <w:vertAlign w:val="subscript"/>
              </w:rPr>
              <w:t xml:space="preserve">1 </w:t>
            </w:r>
          </w:p>
          <w:p w:rsidR="001F47D8" w:rsidRPr="00536B92" w:rsidRDefault="00860896">
            <w:pPr>
              <w:spacing w:after="16"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GPCOG-I</w:t>
            </w:r>
            <w:r w:rsidRPr="00536B92">
              <w:rPr>
                <w:rFonts w:asciiTheme="majorBidi" w:hAnsiTheme="majorBidi" w:cstheme="majorBidi"/>
                <w:color w:val="auto"/>
                <w:sz w:val="20"/>
                <w:szCs w:val="20"/>
                <w:vertAlign w:val="subscript"/>
              </w:rPr>
              <w:t xml:space="preserve">1 </w:t>
            </w:r>
          </w:p>
          <w:p w:rsidR="001F47D8" w:rsidRPr="00536B92" w:rsidRDefault="00860896">
            <w:pPr>
              <w:spacing w:after="15"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GPCOG-P</w:t>
            </w:r>
            <w:r w:rsidRPr="00536B92">
              <w:rPr>
                <w:rFonts w:asciiTheme="majorBidi" w:hAnsiTheme="majorBidi" w:cstheme="majorBidi"/>
                <w:color w:val="auto"/>
                <w:sz w:val="20"/>
                <w:szCs w:val="20"/>
                <w:vertAlign w:val="subscript"/>
              </w:rPr>
              <w:t xml:space="preserve">3 </w:t>
            </w:r>
          </w:p>
          <w:p w:rsidR="001F47D8" w:rsidRPr="00536B92" w:rsidRDefault="00860896">
            <w:pPr>
              <w:spacing w:after="0" w:line="259" w:lineRule="auto"/>
              <w:ind w:left="120"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GPCOG-I </w:t>
            </w:r>
            <w:r w:rsidRPr="00536B92">
              <w:rPr>
                <w:rFonts w:asciiTheme="majorBidi" w:hAnsiTheme="majorBidi" w:cstheme="majorBidi"/>
                <w:color w:val="auto"/>
                <w:sz w:val="20"/>
                <w:szCs w:val="20"/>
                <w:vertAlign w:val="subscript"/>
              </w:rPr>
              <w:t xml:space="preserve">3 </w:t>
            </w:r>
          </w:p>
        </w:tc>
        <w:tc>
          <w:tcPr>
            <w:tcW w:w="1889" w:type="dxa"/>
            <w:gridSpan w:val="2"/>
            <w:tcBorders>
              <w:top w:val="single" w:sz="4" w:space="0" w:color="000000"/>
              <w:left w:val="nil"/>
              <w:bottom w:val="single" w:sz="4" w:space="0" w:color="000000"/>
              <w:right w:val="nil"/>
            </w:tcBorders>
          </w:tcPr>
          <w:p w:rsidR="001F47D8" w:rsidRPr="00536B92" w:rsidRDefault="00860896">
            <w:pPr>
              <w:spacing w:after="32"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− 0.306</w:t>
            </w:r>
            <w:r w:rsidRPr="00536B92">
              <w:rPr>
                <w:rFonts w:asciiTheme="majorBidi" w:hAnsiTheme="majorBidi" w:cstheme="majorBidi"/>
                <w:color w:val="auto"/>
                <w:sz w:val="20"/>
                <w:szCs w:val="20"/>
                <w:vertAlign w:val="superscript"/>
              </w:rPr>
              <w:t xml:space="preserve">b </w:t>
            </w:r>
          </w:p>
          <w:p w:rsidR="001F47D8" w:rsidRPr="00536B92" w:rsidRDefault="00860896">
            <w:pPr>
              <w:spacing w:after="32"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− 0.302</w:t>
            </w:r>
            <w:r w:rsidRPr="00536B92">
              <w:rPr>
                <w:rFonts w:asciiTheme="majorBidi" w:hAnsiTheme="majorBidi" w:cstheme="majorBidi"/>
                <w:color w:val="auto"/>
                <w:sz w:val="20"/>
                <w:szCs w:val="20"/>
                <w:vertAlign w:val="superscript"/>
              </w:rPr>
              <w:t xml:space="preserve">b </w:t>
            </w:r>
          </w:p>
          <w:p w:rsidR="001F47D8" w:rsidRPr="00536B92" w:rsidRDefault="00860896">
            <w:pPr>
              <w:spacing w:after="32"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− 0.337</w:t>
            </w:r>
            <w:r w:rsidRPr="00536B92">
              <w:rPr>
                <w:rFonts w:asciiTheme="majorBidi" w:hAnsiTheme="majorBidi" w:cstheme="majorBidi"/>
                <w:color w:val="auto"/>
                <w:sz w:val="20"/>
                <w:szCs w:val="20"/>
                <w:vertAlign w:val="superscript"/>
              </w:rPr>
              <w:t xml:space="preserve">b </w:t>
            </w:r>
          </w:p>
          <w:p w:rsidR="001F47D8" w:rsidRPr="00536B92" w:rsidRDefault="00860896">
            <w:pPr>
              <w:spacing w:after="34"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− 0.217</w:t>
            </w:r>
            <w:r w:rsidRPr="00536B92">
              <w:rPr>
                <w:rFonts w:asciiTheme="majorBidi" w:hAnsiTheme="majorBidi" w:cstheme="majorBidi"/>
                <w:color w:val="auto"/>
                <w:sz w:val="20"/>
                <w:szCs w:val="20"/>
                <w:vertAlign w:val="superscript"/>
              </w:rPr>
              <w:t xml:space="preserve">b </w:t>
            </w:r>
          </w:p>
          <w:p w:rsidR="001F47D8" w:rsidRPr="00536B92" w:rsidRDefault="00860896">
            <w:pPr>
              <w:spacing w:after="33"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− 0.345</w:t>
            </w:r>
            <w:r w:rsidRPr="00536B92">
              <w:rPr>
                <w:rFonts w:asciiTheme="majorBidi" w:hAnsiTheme="majorBidi" w:cstheme="majorBidi"/>
                <w:color w:val="auto"/>
                <w:sz w:val="20"/>
                <w:szCs w:val="20"/>
                <w:vertAlign w:val="superscript"/>
              </w:rPr>
              <w:t xml:space="preserve">b </w:t>
            </w:r>
          </w:p>
          <w:p w:rsidR="001F47D8" w:rsidRPr="00536B92" w:rsidRDefault="00860896">
            <w:pPr>
              <w:spacing w:after="0" w:line="259" w:lineRule="auto"/>
              <w:ind w:left="587"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− 0.156</w:t>
            </w:r>
            <w:r w:rsidRPr="00536B92">
              <w:rPr>
                <w:rFonts w:asciiTheme="majorBidi" w:hAnsiTheme="majorBidi" w:cstheme="majorBidi"/>
                <w:color w:val="auto"/>
                <w:sz w:val="20"/>
                <w:szCs w:val="20"/>
                <w:vertAlign w:val="superscript"/>
              </w:rPr>
              <w:t xml:space="preserve">a </w:t>
            </w:r>
          </w:p>
        </w:tc>
        <w:tc>
          <w:tcPr>
            <w:tcW w:w="1459" w:type="dxa"/>
            <w:gridSpan w:val="2"/>
            <w:tcBorders>
              <w:top w:val="single" w:sz="4" w:space="0" w:color="000000"/>
              <w:left w:val="nil"/>
              <w:bottom w:val="single" w:sz="4" w:space="0" w:color="000000"/>
              <w:right w:val="nil"/>
            </w:tcBorders>
          </w:tcPr>
          <w:p w:rsidR="001F47D8" w:rsidRPr="00536B92" w:rsidRDefault="00860896">
            <w:pPr>
              <w:spacing w:after="19"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− 0.33 </w:t>
            </w:r>
          </w:p>
          <w:p w:rsidR="001F47D8" w:rsidRPr="00536B92" w:rsidRDefault="00860896">
            <w:pPr>
              <w:spacing w:after="2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+0.096 </w:t>
            </w:r>
          </w:p>
          <w:p w:rsidR="001F47D8" w:rsidRPr="00536B92" w:rsidRDefault="00860896">
            <w:pPr>
              <w:spacing w:after="16"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+0.137 </w:t>
            </w:r>
          </w:p>
          <w:p w:rsidR="001F47D8" w:rsidRPr="00536B92" w:rsidRDefault="00860896">
            <w:pPr>
              <w:spacing w:after="2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− 0.08 </w:t>
            </w:r>
          </w:p>
          <w:p w:rsidR="001F47D8" w:rsidRPr="00536B92" w:rsidRDefault="00860896">
            <w:pPr>
              <w:spacing w:after="0" w:line="259" w:lineRule="auto"/>
              <w:ind w:right="886"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+0.099 − 0.103 </w:t>
            </w:r>
          </w:p>
        </w:tc>
        <w:tc>
          <w:tcPr>
            <w:tcW w:w="585" w:type="dxa"/>
            <w:tcBorders>
              <w:top w:val="single" w:sz="4" w:space="0" w:color="000000"/>
              <w:left w:val="nil"/>
              <w:bottom w:val="single" w:sz="4" w:space="0" w:color="000000"/>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− 0.102 </w:t>
            </w:r>
          </w:p>
          <w:p w:rsidR="001F47D8" w:rsidRPr="00536B92" w:rsidRDefault="00860896">
            <w:pPr>
              <w:spacing w:after="12"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− 0.128 </w:t>
            </w:r>
          </w:p>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− 0.32 </w:t>
            </w:r>
          </w:p>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− 0.221 </w:t>
            </w:r>
          </w:p>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− 0.32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− 0.212 </w:t>
            </w:r>
          </w:p>
        </w:tc>
      </w:tr>
    </w:tbl>
    <w:p w:rsidR="00A76678" w:rsidRPr="00536B92" w:rsidRDefault="00A76678" w:rsidP="00A76678">
      <w:pPr>
        <w:spacing w:after="386" w:line="265" w:lineRule="auto"/>
        <w:ind w:left="-4" w:right="32" w:hanging="10"/>
        <w:jc w:val="left"/>
        <w:rPr>
          <w:rFonts w:asciiTheme="majorBidi" w:hAnsiTheme="majorBidi" w:cstheme="majorBidi"/>
          <w:color w:val="auto"/>
          <w:sz w:val="20"/>
          <w:szCs w:val="20"/>
        </w:rPr>
      </w:pPr>
      <w:r>
        <w:rPr>
          <w:rFonts w:asciiTheme="majorBidi" w:hAnsiTheme="majorBidi" w:cstheme="majorBidi"/>
          <w:color w:val="auto"/>
          <w:sz w:val="20"/>
          <w:szCs w:val="20"/>
        </w:rPr>
        <w:t>Note:</w:t>
      </w:r>
      <w:r w:rsidR="00860896" w:rsidRPr="00536B92">
        <w:rPr>
          <w:rFonts w:asciiTheme="majorBidi" w:hAnsiTheme="majorBidi" w:cstheme="majorBidi"/>
          <w:color w:val="auto"/>
          <w:sz w:val="20"/>
          <w:szCs w:val="20"/>
        </w:rPr>
        <w:t xml:space="preserve"> </w:t>
      </w:r>
      <w:r w:rsidRPr="00536B92">
        <w:rPr>
          <w:rFonts w:asciiTheme="majorBidi" w:hAnsiTheme="majorBidi" w:cstheme="majorBidi"/>
          <w:color w:val="auto"/>
          <w:sz w:val="20"/>
          <w:szCs w:val="20"/>
          <w:vertAlign w:val="superscript"/>
        </w:rPr>
        <w:t xml:space="preserve">a </w:t>
      </w:r>
      <w:r w:rsidRPr="00536B92">
        <w:rPr>
          <w:rFonts w:asciiTheme="majorBidi" w:hAnsiTheme="majorBidi" w:cstheme="majorBidi"/>
          <w:color w:val="auto"/>
          <w:sz w:val="20"/>
          <w:szCs w:val="20"/>
        </w:rPr>
        <w:t>P-value</w:t>
      </w: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0.05. </w:t>
      </w:r>
      <w:proofErr w:type="gramStart"/>
      <w:r w:rsidRPr="00536B92">
        <w:rPr>
          <w:rFonts w:asciiTheme="majorBidi" w:hAnsiTheme="majorBidi" w:cstheme="majorBidi"/>
          <w:color w:val="auto"/>
          <w:sz w:val="20"/>
          <w:szCs w:val="20"/>
          <w:vertAlign w:val="superscript"/>
        </w:rPr>
        <w:t>b</w:t>
      </w:r>
      <w:proofErr w:type="gramEnd"/>
      <w:r w:rsidRPr="00536B92">
        <w:rPr>
          <w:rFonts w:asciiTheme="majorBidi" w:hAnsiTheme="majorBidi" w:cstheme="majorBidi"/>
          <w:color w:val="auto"/>
          <w:sz w:val="20"/>
          <w:szCs w:val="20"/>
          <w:vertAlign w:val="superscript"/>
        </w:rPr>
        <w:t xml:space="preserve"> </w:t>
      </w:r>
      <w:r w:rsidRPr="00536B92">
        <w:rPr>
          <w:rFonts w:asciiTheme="majorBidi" w:hAnsiTheme="majorBidi" w:cstheme="majorBidi"/>
          <w:color w:val="auto"/>
          <w:sz w:val="20"/>
          <w:szCs w:val="20"/>
        </w:rPr>
        <w:t xml:space="preserve">P value </w:t>
      </w:r>
      <w:r w:rsidRPr="00536B92">
        <w:rPr>
          <w:rFonts w:asciiTheme="majorBidi" w:hAnsiTheme="majorBidi" w:cstheme="majorBidi"/>
          <w:i/>
          <w:color w:val="auto"/>
          <w:sz w:val="20"/>
          <w:szCs w:val="20"/>
        </w:rPr>
        <w:t xml:space="preserve">&lt; </w:t>
      </w:r>
      <w:r w:rsidRPr="00536B92">
        <w:rPr>
          <w:rFonts w:asciiTheme="majorBidi" w:hAnsiTheme="majorBidi" w:cstheme="majorBidi"/>
          <w:color w:val="auto"/>
          <w:sz w:val="20"/>
          <w:szCs w:val="20"/>
        </w:rPr>
        <w:t xml:space="preserve">0.01, 0: at the time of hospital discharge, 1: 1 month after discharge, 3: 3 months after discharge. </w:t>
      </w:r>
    </w:p>
    <w:p w:rsidR="00A76678" w:rsidRPr="00536B92" w:rsidRDefault="00860896" w:rsidP="00A76678">
      <w:pPr>
        <w:spacing w:after="70" w:line="265" w:lineRule="auto"/>
        <w:ind w:left="-4" w:right="32" w:hanging="1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Table </w:t>
      </w:r>
      <w:r w:rsidR="00A76678" w:rsidRPr="00536B92">
        <w:rPr>
          <w:rFonts w:asciiTheme="majorBidi" w:hAnsiTheme="majorBidi" w:cstheme="majorBidi"/>
          <w:b/>
          <w:color w:val="auto"/>
          <w:sz w:val="20"/>
          <w:szCs w:val="20"/>
        </w:rPr>
        <w:t>4: Comparison</w:t>
      </w:r>
      <w:r w:rsidR="00A76678" w:rsidRPr="00536B92">
        <w:rPr>
          <w:rFonts w:asciiTheme="majorBidi" w:hAnsiTheme="majorBidi" w:cstheme="majorBidi"/>
          <w:color w:val="auto"/>
          <w:sz w:val="20"/>
          <w:szCs w:val="20"/>
        </w:rPr>
        <w:t xml:space="preserve"> of average cognitive assessment scores based on CRP and D-dimer levels.  </w:t>
      </w:r>
    </w:p>
    <w:p w:rsidR="001F47D8" w:rsidRPr="00536B92" w:rsidRDefault="00860896">
      <w:pPr>
        <w:tabs>
          <w:tab w:val="center" w:pos="1078"/>
          <w:tab w:val="center" w:pos="3283"/>
        </w:tabs>
        <w:spacing w:after="94"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Variables </w:t>
      </w:r>
      <w:r w:rsidRPr="00536B92">
        <w:rPr>
          <w:rFonts w:asciiTheme="majorBidi" w:hAnsiTheme="majorBidi" w:cstheme="majorBidi"/>
          <w:color w:val="auto"/>
          <w:sz w:val="20"/>
          <w:szCs w:val="20"/>
        </w:rPr>
        <w:tab/>
        <w:t xml:space="preserve">CRP </w:t>
      </w:r>
      <w:r w:rsidRPr="00536B92">
        <w:rPr>
          <w:rFonts w:asciiTheme="majorBidi" w:hAnsiTheme="majorBidi" w:cstheme="majorBidi"/>
          <w:color w:val="auto"/>
          <w:sz w:val="20"/>
          <w:szCs w:val="20"/>
        </w:rPr>
        <w:tab/>
        <w:t xml:space="preserve">D-Dimer </w:t>
      </w:r>
    </w:p>
    <w:p w:rsidR="001F47D8" w:rsidRPr="00536B92" w:rsidRDefault="00860896">
      <w:pPr>
        <w:tabs>
          <w:tab w:val="center" w:pos="1208"/>
          <w:tab w:val="center" w:pos="1924"/>
          <w:tab w:val="center" w:pos="2606"/>
          <w:tab w:val="center" w:pos="3293"/>
          <w:tab w:val="center" w:pos="4009"/>
          <w:tab w:val="center" w:pos="4691"/>
        </w:tabs>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noProof/>
          <w:color w:val="auto"/>
          <w:sz w:val="20"/>
          <w:szCs w:val="20"/>
        </w:rPr>
        <w:lastRenderedPageBreak/>
        <mc:AlternateContent>
          <mc:Choice Requires="wpg">
            <w:drawing>
              <wp:anchor distT="0" distB="0" distL="114300" distR="114300" simplePos="0" relativeHeight="251658240" behindDoc="1" locked="0" layoutInCell="1" allowOverlap="1" wp14:anchorId="603256BC" wp14:editId="063653E0">
                <wp:simplePos x="0" y="0"/>
                <wp:positionH relativeFrom="column">
                  <wp:posOffset>324</wp:posOffset>
                </wp:positionH>
                <wp:positionV relativeFrom="paragraph">
                  <wp:posOffset>-186118</wp:posOffset>
                </wp:positionV>
                <wp:extent cx="3188438" cy="340157"/>
                <wp:effectExtent l="0" t="0" r="0" b="0"/>
                <wp:wrapNone/>
                <wp:docPr id="16745" name="Group 16745"/>
                <wp:cNvGraphicFramePr/>
                <a:graphic xmlns:a="http://schemas.openxmlformats.org/drawingml/2006/main">
                  <a:graphicData uri="http://schemas.microsoft.com/office/word/2010/wordprocessingGroup">
                    <wpg:wgp>
                      <wpg:cNvGrpSpPr/>
                      <wpg:grpSpPr>
                        <a:xfrm>
                          <a:off x="0" y="0"/>
                          <a:ext cx="3188438" cy="340157"/>
                          <a:chOff x="0" y="0"/>
                          <a:chExt cx="3188438" cy="340157"/>
                        </a:xfrm>
                      </wpg:grpSpPr>
                      <wps:wsp>
                        <wps:cNvPr id="18870" name="Shape 18870"/>
                        <wps:cNvSpPr/>
                        <wps:spPr>
                          <a:xfrm>
                            <a:off x="0" y="0"/>
                            <a:ext cx="3188438" cy="9144"/>
                          </a:xfrm>
                          <a:custGeom>
                            <a:avLst/>
                            <a:gdLst/>
                            <a:ahLst/>
                            <a:cxnLst/>
                            <a:rect l="0" t="0" r="0" b="0"/>
                            <a:pathLst>
                              <a:path w="3188438" h="9144">
                                <a:moveTo>
                                  <a:pt x="0" y="0"/>
                                </a:moveTo>
                                <a:lnTo>
                                  <a:pt x="3188438" y="0"/>
                                </a:lnTo>
                                <a:lnTo>
                                  <a:pt x="31884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1" name="Shape 18871"/>
                        <wps:cNvSpPr/>
                        <wps:spPr>
                          <a:xfrm>
                            <a:off x="0" y="333832"/>
                            <a:ext cx="609081" cy="9144"/>
                          </a:xfrm>
                          <a:custGeom>
                            <a:avLst/>
                            <a:gdLst/>
                            <a:ahLst/>
                            <a:cxnLst/>
                            <a:rect l="0" t="0" r="0" b="0"/>
                            <a:pathLst>
                              <a:path w="609081" h="9144">
                                <a:moveTo>
                                  <a:pt x="0" y="0"/>
                                </a:moveTo>
                                <a:lnTo>
                                  <a:pt x="609081" y="0"/>
                                </a:lnTo>
                                <a:lnTo>
                                  <a:pt x="6090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2" name="Shape 18872"/>
                        <wps:cNvSpPr/>
                        <wps:spPr>
                          <a:xfrm>
                            <a:off x="609081" y="167005"/>
                            <a:ext cx="1179716" cy="9144"/>
                          </a:xfrm>
                          <a:custGeom>
                            <a:avLst/>
                            <a:gdLst/>
                            <a:ahLst/>
                            <a:cxnLst/>
                            <a:rect l="0" t="0" r="0" b="0"/>
                            <a:pathLst>
                              <a:path w="1179716" h="9144">
                                <a:moveTo>
                                  <a:pt x="0" y="0"/>
                                </a:moveTo>
                                <a:lnTo>
                                  <a:pt x="1179716" y="0"/>
                                </a:lnTo>
                                <a:lnTo>
                                  <a:pt x="11797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3" name="Shape 18873"/>
                        <wps:cNvSpPr/>
                        <wps:spPr>
                          <a:xfrm>
                            <a:off x="1932802" y="167005"/>
                            <a:ext cx="1179728" cy="9144"/>
                          </a:xfrm>
                          <a:custGeom>
                            <a:avLst/>
                            <a:gdLst/>
                            <a:ahLst/>
                            <a:cxnLst/>
                            <a:rect l="0" t="0" r="0" b="0"/>
                            <a:pathLst>
                              <a:path w="1179728" h="9144">
                                <a:moveTo>
                                  <a:pt x="0" y="0"/>
                                </a:moveTo>
                                <a:lnTo>
                                  <a:pt x="1179728" y="0"/>
                                </a:lnTo>
                                <a:lnTo>
                                  <a:pt x="11797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4" name="Shape 18874"/>
                        <wps:cNvSpPr/>
                        <wps:spPr>
                          <a:xfrm>
                            <a:off x="465080" y="333832"/>
                            <a:ext cx="615500" cy="9144"/>
                          </a:xfrm>
                          <a:custGeom>
                            <a:avLst/>
                            <a:gdLst/>
                            <a:ahLst/>
                            <a:cxnLst/>
                            <a:rect l="0" t="0" r="0" b="0"/>
                            <a:pathLst>
                              <a:path w="615500" h="9144">
                                <a:moveTo>
                                  <a:pt x="0" y="0"/>
                                </a:moveTo>
                                <a:lnTo>
                                  <a:pt x="615500" y="0"/>
                                </a:lnTo>
                                <a:lnTo>
                                  <a:pt x="6155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5" name="Shape 18875"/>
                        <wps:cNvSpPr/>
                        <wps:spPr>
                          <a:xfrm>
                            <a:off x="936588" y="333832"/>
                            <a:ext cx="584759" cy="9144"/>
                          </a:xfrm>
                          <a:custGeom>
                            <a:avLst/>
                            <a:gdLst/>
                            <a:ahLst/>
                            <a:cxnLst/>
                            <a:rect l="0" t="0" r="0" b="0"/>
                            <a:pathLst>
                              <a:path w="584759" h="9144">
                                <a:moveTo>
                                  <a:pt x="0" y="0"/>
                                </a:moveTo>
                                <a:lnTo>
                                  <a:pt x="584759" y="0"/>
                                </a:lnTo>
                                <a:lnTo>
                                  <a:pt x="5847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6" name="Shape 18876"/>
                        <wps:cNvSpPr/>
                        <wps:spPr>
                          <a:xfrm>
                            <a:off x="1377342" y="333832"/>
                            <a:ext cx="555460" cy="9144"/>
                          </a:xfrm>
                          <a:custGeom>
                            <a:avLst/>
                            <a:gdLst/>
                            <a:ahLst/>
                            <a:cxnLst/>
                            <a:rect l="0" t="0" r="0" b="0"/>
                            <a:pathLst>
                              <a:path w="555460" h="9144">
                                <a:moveTo>
                                  <a:pt x="0" y="0"/>
                                </a:moveTo>
                                <a:lnTo>
                                  <a:pt x="555460" y="0"/>
                                </a:lnTo>
                                <a:lnTo>
                                  <a:pt x="5554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7" name="Shape 18877"/>
                        <wps:cNvSpPr/>
                        <wps:spPr>
                          <a:xfrm>
                            <a:off x="1788796" y="333832"/>
                            <a:ext cx="615505" cy="9144"/>
                          </a:xfrm>
                          <a:custGeom>
                            <a:avLst/>
                            <a:gdLst/>
                            <a:ahLst/>
                            <a:cxnLst/>
                            <a:rect l="0" t="0" r="0" b="0"/>
                            <a:pathLst>
                              <a:path w="615505" h="9144">
                                <a:moveTo>
                                  <a:pt x="0" y="0"/>
                                </a:moveTo>
                                <a:lnTo>
                                  <a:pt x="615505" y="0"/>
                                </a:lnTo>
                                <a:lnTo>
                                  <a:pt x="6155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8" name="Shape 18878"/>
                        <wps:cNvSpPr/>
                        <wps:spPr>
                          <a:xfrm>
                            <a:off x="2260309" y="333832"/>
                            <a:ext cx="584759" cy="9144"/>
                          </a:xfrm>
                          <a:custGeom>
                            <a:avLst/>
                            <a:gdLst/>
                            <a:ahLst/>
                            <a:cxnLst/>
                            <a:rect l="0" t="0" r="0" b="0"/>
                            <a:pathLst>
                              <a:path w="584759" h="9144">
                                <a:moveTo>
                                  <a:pt x="0" y="0"/>
                                </a:moveTo>
                                <a:lnTo>
                                  <a:pt x="584759" y="0"/>
                                </a:lnTo>
                                <a:lnTo>
                                  <a:pt x="5847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79" name="Shape 18879"/>
                        <wps:cNvSpPr/>
                        <wps:spPr>
                          <a:xfrm>
                            <a:off x="2701063" y="333832"/>
                            <a:ext cx="487375" cy="9144"/>
                          </a:xfrm>
                          <a:custGeom>
                            <a:avLst/>
                            <a:gdLst/>
                            <a:ahLst/>
                            <a:cxnLst/>
                            <a:rect l="0" t="0" r="0" b="0"/>
                            <a:pathLst>
                              <a:path w="487375" h="9144">
                                <a:moveTo>
                                  <a:pt x="0" y="0"/>
                                </a:moveTo>
                                <a:lnTo>
                                  <a:pt x="487375" y="0"/>
                                </a:lnTo>
                                <a:lnTo>
                                  <a:pt x="4873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188AEFD" id="Group 16745" o:spid="_x0000_s1026" style="position:absolute;left:0;text-align:left;margin-left:.05pt;margin-top:-14.65pt;width:251.05pt;height:26.8pt;z-index:-251658240" coordsize="31884,3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">
                <v:shape id="Shape 18870" o:spid="_x0000_s1027" style="position:absolute;width:31884;height:91;visibility:visible;mso-wrap-style:square;v-text-anchor:top" coordsize="31884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SyW8cA&#10;AADeAAAADwAAAGRycy9kb3ducmV2LnhtbESPQW/CMAyF75P2HyJP4jKNFKZtVUdAqIhp1xXG2WpM&#10;W9E4XROg8OvxYRI3W35+732zxeBadaI+NJ4NTMYJKOLS24YrA9vN+iUFFSKyxdYzGbhQgMX88WGG&#10;mfVn/qFTESslJhwyNFDH2GVah7Imh2HsO2K57X3vMMraV9r2eBZz1+ppkrxrhw1LQo0d5TWVh+Lo&#10;DGyOr3r7dn0+rPzlKx/+8ibufgtjRk/D8hNUpCHexf/f31bqp+mHAAiOz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UslvHAAAA3gAAAA8AAAAAAAAAAAAAAAAAmAIAAGRy&#10;cy9kb3ducmV2LnhtbFBLBQYAAAAABAAEAPUAAACMAwAAAAA=&#10;" path="m,l3188438,r,9144l,9144,,e" fillcolor="black" stroked="f" strokeweight="0">
                  <v:stroke miterlimit="83231f" joinstyle="miter"/>
                  <v:path arrowok="t" textboxrect="0,0,3188438,9144"/>
                </v:shape>
                <v:shape id="Shape 18871" o:spid="_x0000_s1028" style="position:absolute;top:3338;width:6090;height:91;visibility:visible;mso-wrap-style:square;v-text-anchor:top" coordsize="60908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jv38QA&#10;AADeAAAADwAAAGRycy9kb3ducmV2LnhtbERPS2sCMRC+F/wPYYTeatYidVk3ithKpYLg4+Jt2Mw+&#10;cDNZNmnc/vumUPA2H99z8tVgWhGod41lBdNJAoK4sLrhSsHlvH1JQTiPrLG1TAp+yMFqOXrKMdP2&#10;zkcKJ1+JGMIuQwW1910mpStqMugmtiOOXGl7gz7CvpK6x3sMN618TZI3abDh2FBjR5uaitvp2ygo&#10;/WdIviTr4pCGw353Pc8+wrtSz+NhvQDhafAP8b97p+P8NJ1P4e+deIN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I79/EAAAA3gAAAA8AAAAAAAAAAAAAAAAAmAIAAGRycy9k&#10;b3ducmV2LnhtbFBLBQYAAAAABAAEAPUAAACJAwAAAAA=&#10;" path="m,l609081,r,9144l,9144,,e" fillcolor="black" stroked="f" strokeweight="0">
                  <v:stroke miterlimit="83231f" joinstyle="miter"/>
                  <v:path arrowok="t" textboxrect="0,0,609081,9144"/>
                </v:shape>
                <v:shape id="Shape 18872" o:spid="_x0000_s1029" style="position:absolute;left:6090;top:1670;width:11797;height:91;visibility:visible;mso-wrap-style:square;v-text-anchor:top" coordsize="117971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dU8EA&#10;AADeAAAADwAAAGRycy9kb3ducmV2LnhtbERPTUvDQBC9C/6HZQRvdmMONcRuiwhSQQRtg+chOybR&#10;7GzIjNv4711B8DaP9zmb3RJGk2iWIbKD61UBhriNfuDOQXN8uKrAiCJ7HCOTg28S2G3PzzZY+3ji&#10;V0oH7UwOYanRQa861dZK21NAWcWJOHPvcQ6oGc6d9TOecngYbVkUaxtw4NzQ40T3PbWfh6/gQPYf&#10;+5dnXT9JI031xmVSScm5y4vl7haM0qL/4j/3o8/zq+qmhN938g12+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0HVPBAAAA3gAAAA8AAAAAAAAAAAAAAAAAmAIAAGRycy9kb3du&#10;cmV2LnhtbFBLBQYAAAAABAAEAPUAAACGAwAAAAA=&#10;" path="m,l1179716,r,9144l,9144,,e" fillcolor="black" stroked="f" strokeweight="0">
                  <v:stroke miterlimit="83231f" joinstyle="miter"/>
                  <v:path arrowok="t" textboxrect="0,0,1179716,9144"/>
                </v:shape>
                <v:shape id="Shape 18873" o:spid="_x0000_s1030" style="position:absolute;left:19328;top:1670;width:11797;height:91;visibility:visible;mso-wrap-style:square;v-text-anchor:top" coordsize="117972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3Qs8UA&#10;AADeAAAADwAAAGRycy9kb3ducmV2LnhtbERPTWvCQBC9F/oflin0VjdVMDG6ShFte+ilKoi3ITsm&#10;abOzITvV5N+7hUJv83ifs1j1rlEX6kLt2cDzKAFFXHhbc2ngsN8+ZaCCIFtsPJOBgQKslvd3C8yt&#10;v/InXXZSqhjCIUcDlUibax2KihyGkW+JI3f2nUOJsCu17fAaw12jx0ky1Q5rjg0VtrSuqPje/TgD&#10;4o6n89eb5dnkdbxJJR0+NvVgzOND/zIHJdTLv/jP/W7j/CxLJ/D7TrxB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dCzxQAAAN4AAAAPAAAAAAAAAAAAAAAAAJgCAABkcnMv&#10;ZG93bnJldi54bWxQSwUGAAAAAAQABAD1AAAAigMAAAAA&#10;" path="m,l1179728,r,9144l,9144,,e" fillcolor="black" stroked="f" strokeweight="0">
                  <v:stroke miterlimit="83231f" joinstyle="miter"/>
                  <v:path arrowok="t" textboxrect="0,0,1179728,9144"/>
                </v:shape>
                <v:shape id="Shape 18874" o:spid="_x0000_s1031" style="position:absolute;left:4650;top:3338;width:6155;height:91;visibility:visible;mso-wrap-style:square;v-text-anchor:top" coordsize="6155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ALjMcA&#10;AADeAAAADwAAAGRycy9kb3ducmV2LnhtbESPQUvDQBCF74L/YZmCN7upFI2x26KCWFAKraXgbchO&#10;syHZ2ZAdm+ivdwWhtxne+968WaxG36oT9bEObGA2zUARl8HWXBnYf7xc56CiIFtsA5OBb4qwWl5e&#10;LLCwYeAtnXZSqRTCsUADTqQrtI6lI49xGjripB1D71HS2lfa9jikcN/qmyy71R5rThccdvTsqGx2&#10;Xz7VaF43s8/7Rpy8D0hvT+sfOcyNuZqMjw+ghEY5m//ptU1cnt/N4e+dNIN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5QC4zHAAAA3gAAAA8AAAAAAAAAAAAAAAAAmAIAAGRy&#10;cy9kb3ducmV2LnhtbFBLBQYAAAAABAAEAPUAAACMAwAAAAA=&#10;" path="m,l615500,r,9144l,9144,,e" fillcolor="black" stroked="f" strokeweight="0">
                  <v:stroke miterlimit="83231f" joinstyle="miter"/>
                  <v:path arrowok="t" textboxrect="0,0,615500,9144"/>
                </v:shape>
                <v:shape id="Shape 18875" o:spid="_x0000_s1032" style="position:absolute;left:9365;top:3338;width:5848;height:91;visibility:visible;mso-wrap-style:square;v-text-anchor:top" coordsize="58475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0RsUA&#10;AADeAAAADwAAAGRycy9kb3ducmV2LnhtbERP20rDQBB9F/yHZYS+SLup2iaN3RYpVHxp6e0DhuyY&#10;BLOzcXebxL93BaFvczjXWa4H04iOnK8tK5hOEhDEhdU1lwou5+04A+EDssbGMin4IQ/r1f3dEnNt&#10;ez5SdwqliCHsc1RQhdDmUvqiIoN+YlviyH1aZzBE6EqpHfYx3DTyKUnm0mDNsaHCljYVFV+nq1GQ&#10;7meHR5r2283uZf/cfZfu3S9SpUYPw9sriEBDuIn/3R86zs+ydAZ/78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zRGxQAAAN4AAAAPAAAAAAAAAAAAAAAAAJgCAABkcnMv&#10;ZG93bnJldi54bWxQSwUGAAAAAAQABAD1AAAAigMAAAAA&#10;" path="m,l584759,r,9144l,9144,,e" fillcolor="black" stroked="f" strokeweight="0">
                  <v:stroke miterlimit="83231f" joinstyle="miter"/>
                  <v:path arrowok="t" textboxrect="0,0,584759,9144"/>
                </v:shape>
                <v:shape id="Shape 18876" o:spid="_x0000_s1033" style="position:absolute;left:13773;top:3338;width:5555;height:91;visibility:visible;mso-wrap-style:square;v-text-anchor:top" coordsize="5554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FvcMA&#10;AADeAAAADwAAAGRycy9kb3ducmV2LnhtbERPTWvCQBC9F/oflil4kbpJDzZEV5HWQo+pSs/D7riJ&#10;ZmdDdk3iv+8WCr3N433Oeju5VgzUh8azgnyRgSDW3jRsFZyOH88FiBCRDbaeScGdAmw3jw9rLI0f&#10;+YuGQ7QihXAoUUEdY1dKGXRNDsPCd8SJO/veYUywt9L0OKZw18qXLFtKhw2nhho7eqtJXw83p2De&#10;dMecvL1oN2/j/ruq7LveKTV7mnYrEJGm+C/+c3+aNL8oXpfw+06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aFvcMAAADeAAAADwAAAAAAAAAAAAAAAACYAgAAZHJzL2Rv&#10;d25yZXYueG1sUEsFBgAAAAAEAAQA9QAAAIgDAAAAAA==&#10;" path="m,l555460,r,9144l,9144,,e" fillcolor="black" stroked="f" strokeweight="0">
                  <v:stroke miterlimit="83231f" joinstyle="miter"/>
                  <v:path arrowok="t" textboxrect="0,0,555460,9144"/>
                </v:shape>
                <v:shape id="Shape 18877" o:spid="_x0000_s1034" style="position:absolute;left:17887;top:3338;width:6156;height:91;visibility:visible;mso-wrap-style:square;v-text-anchor:top" coordsize="6155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3S8IA&#10;AADeAAAADwAAAGRycy9kb3ducmV2LnhtbERPzWqDQBC+F/IOywR6a9ZIacS4hpJgU+hJkwcY3KmK&#10;7qy420TfPlso9DYf3+9kh9kM4kaT6ywr2G4iEMS11R03Cq6X4iUB4TyyxsEyKVjIwSFfPWWYanvn&#10;km6Vb0QIYZeigtb7MZXS1S0ZdBs7Egfu204GfYBTI/WE9xBuBhlH0Zs02HFoaHGkY0t1X/0YBd1S&#10;UV/iazwuc3neFr3/+jhppZ7X8/sehKfZ/4v/3J86zE+S3Q5+3wk3y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PdLwgAAAN4AAAAPAAAAAAAAAAAAAAAAAJgCAABkcnMvZG93&#10;bnJldi54bWxQSwUGAAAAAAQABAD1AAAAhwMAAAAA&#10;" path="m,l615505,r,9144l,9144,,e" fillcolor="black" stroked="f" strokeweight="0">
                  <v:stroke miterlimit="83231f" joinstyle="miter"/>
                  <v:path arrowok="t" textboxrect="0,0,615505,9144"/>
                </v:shape>
                <v:shape id="Shape 18878" o:spid="_x0000_s1035" style="position:absolute;left:22603;top:3338;width:5847;height:91;visibility:visible;mso-wrap-style:square;v-text-anchor:top" coordsize="58475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b2MgA&#10;AADeAAAADwAAAGRycy9kb3ducmV2LnhtbESPzU7DQAyE70h9h5UrcUF0U/4SQrcVqlTEpRUUHsDK&#10;miRq1pvuLkl4e3xA4mZrxjOfV5vJdWqgEFvPBpaLDBRx5W3LtYHPj911ASomZIudZzLwQxE269nF&#10;CkvrR36n4ZhqJSEcSzTQpNSXWseqIYdx4Xti0b58cJhkDbW2AUcJd52+ybIH7bBlaWiwp21D1en4&#10;7Qzkh/u3K1qOu+3+7nA7nOvwEh9zYy7n0/MTqERT+jf/Xb9awS+KXHjlHZlBr3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NpvYyAAAAN4AAAAPAAAAAAAAAAAAAAAAAJgCAABk&#10;cnMvZG93bnJldi54bWxQSwUGAAAAAAQABAD1AAAAjQMAAAAA&#10;" path="m,l584759,r,9144l,9144,,e" fillcolor="black" stroked="f" strokeweight="0">
                  <v:stroke miterlimit="83231f" joinstyle="miter"/>
                  <v:path arrowok="t" textboxrect="0,0,584759,9144"/>
                </v:shape>
                <v:shape id="Shape 18879" o:spid="_x0000_s1036" style="position:absolute;left:27010;top:3338;width:4874;height:91;visibility:visible;mso-wrap-style:square;v-text-anchor:top" coordsize="48737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iMUA&#10;AADeAAAADwAAAGRycy9kb3ducmV2LnhtbESPQWuDQBCF74X8h2UCvZRmTQpGrWsIAaE9NjE9D+5E&#10;pe6suBu1/75bKPQ2w3vzvjf5YTG9mGh0nWUF200Egri2uuNGQXUpnxMQziNr7C2Tgm9ycChWDzlm&#10;2s78QdPZNyKEsMtQQev9kEnp6pYMuo0diIN2s6NBH9axkXrEOYSbXu6iKJYGOw6EFgc6tVR/ne8m&#10;cG9LGSPzZ5lO7y88620VP12Velwvx1cQnhb/b/67ftOhfpLsU/h9J8w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6IxQAAAN4AAAAPAAAAAAAAAAAAAAAAAJgCAABkcnMv&#10;ZG93bnJldi54bWxQSwUGAAAAAAQABAD1AAAAigMAAAAA&#10;" path="m,l487375,r,9144l,9144,,e" fillcolor="black" stroked="f" strokeweight="0">
                  <v:stroke miterlimit="83231f" joinstyle="miter"/>
                  <v:path arrowok="t" textboxrect="0,0,487375,9144"/>
                </v:shape>
              </v:group>
            </w:pict>
          </mc:Fallback>
        </mc:AlternateContent>
      </w:r>
      <w:r w:rsidRPr="00536B92">
        <w:rPr>
          <w:rFonts w:asciiTheme="majorBidi" w:hAnsiTheme="majorBidi" w:cstheme="majorBidi"/>
          <w:color w:val="auto"/>
          <w:sz w:val="20"/>
          <w:szCs w:val="20"/>
        </w:rPr>
        <w:tab/>
        <w:t xml:space="preserve">Negative </w:t>
      </w:r>
      <w:r w:rsidRPr="00536B92">
        <w:rPr>
          <w:rFonts w:asciiTheme="majorBidi" w:hAnsiTheme="majorBidi" w:cstheme="majorBidi"/>
          <w:color w:val="auto"/>
          <w:sz w:val="20"/>
          <w:szCs w:val="20"/>
        </w:rPr>
        <w:tab/>
        <w:t xml:space="preserve">Positive </w:t>
      </w:r>
      <w:r w:rsidRPr="00536B92">
        <w:rPr>
          <w:rFonts w:asciiTheme="majorBidi" w:hAnsiTheme="majorBidi" w:cstheme="majorBidi"/>
          <w:color w:val="auto"/>
          <w:sz w:val="20"/>
          <w:szCs w:val="20"/>
        </w:rPr>
        <w:tab/>
        <w:t xml:space="preserve">P-value </w:t>
      </w:r>
      <w:r w:rsidRPr="00536B92">
        <w:rPr>
          <w:rFonts w:asciiTheme="majorBidi" w:hAnsiTheme="majorBidi" w:cstheme="majorBidi"/>
          <w:color w:val="auto"/>
          <w:sz w:val="20"/>
          <w:szCs w:val="20"/>
        </w:rPr>
        <w:tab/>
        <w:t xml:space="preserve">Negative </w:t>
      </w:r>
      <w:r w:rsidRPr="00536B92">
        <w:rPr>
          <w:rFonts w:asciiTheme="majorBidi" w:hAnsiTheme="majorBidi" w:cstheme="majorBidi"/>
          <w:color w:val="auto"/>
          <w:sz w:val="20"/>
          <w:szCs w:val="20"/>
        </w:rPr>
        <w:tab/>
        <w:t xml:space="preserve">Positive </w:t>
      </w:r>
      <w:r w:rsidRPr="00536B92">
        <w:rPr>
          <w:rFonts w:asciiTheme="majorBidi" w:hAnsiTheme="majorBidi" w:cstheme="majorBidi"/>
          <w:color w:val="auto"/>
          <w:sz w:val="20"/>
          <w:szCs w:val="20"/>
        </w:rPr>
        <w:tab/>
        <w:t xml:space="preserve">P-value </w:t>
      </w:r>
    </w:p>
    <w:tbl>
      <w:tblPr>
        <w:tblStyle w:val="TableGrid"/>
        <w:tblW w:w="4819" w:type="dxa"/>
        <w:tblInd w:w="120" w:type="dxa"/>
        <w:tblLook w:val="04A0" w:firstRow="1" w:lastRow="0" w:firstColumn="1" w:lastColumn="0" w:noHBand="0" w:noVBand="1"/>
      </w:tblPr>
      <w:tblGrid>
        <w:gridCol w:w="851"/>
        <w:gridCol w:w="707"/>
        <w:gridCol w:w="663"/>
        <w:gridCol w:w="643"/>
        <w:gridCol w:w="707"/>
        <w:gridCol w:w="663"/>
        <w:gridCol w:w="585"/>
      </w:tblGrid>
      <w:tr w:rsidR="00536B92" w:rsidRPr="00536B92">
        <w:trPr>
          <w:trHeight w:val="705"/>
        </w:trPr>
        <w:tc>
          <w:tcPr>
            <w:tcW w:w="839" w:type="dxa"/>
            <w:tcBorders>
              <w:top w:val="nil"/>
              <w:left w:val="nil"/>
              <w:bottom w:val="nil"/>
              <w:right w:val="nil"/>
            </w:tcBorders>
          </w:tcPr>
          <w:p w:rsidR="001F47D8" w:rsidRPr="00536B92" w:rsidRDefault="00860896">
            <w:pPr>
              <w:spacing w:after="52"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GPCOG- </w:t>
            </w:r>
          </w:p>
          <w:p w:rsidR="001F47D8" w:rsidRPr="00536B92" w:rsidRDefault="00860896">
            <w:pPr>
              <w:spacing w:after="31" w:line="247" w:lineRule="auto"/>
              <w:ind w:left="119" w:right="175"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P0 (Mean  </w:t>
            </w:r>
          </w:p>
          <w:p w:rsidR="001F47D8" w:rsidRPr="00536B92" w:rsidRDefault="00860896">
            <w:pPr>
              <w:spacing w:after="0" w:line="259" w:lineRule="auto"/>
              <w:ind w:left="119"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 SD)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6.63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2.35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3.61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1.55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6.10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2.59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4.00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2.01 </w:t>
            </w:r>
          </w:p>
        </w:tc>
        <w:tc>
          <w:tcPr>
            <w:tcW w:w="458"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0.001 </w:t>
            </w:r>
          </w:p>
        </w:tc>
      </w:tr>
      <w:tr w:rsidR="00536B92" w:rsidRPr="00536B92">
        <w:trPr>
          <w:trHeight w:val="342"/>
        </w:trPr>
        <w:tc>
          <w:tcPr>
            <w:tcW w:w="83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GPCOG-I</w:t>
            </w:r>
            <w:r w:rsidRPr="00536B92">
              <w:rPr>
                <w:rFonts w:asciiTheme="majorBidi" w:hAnsiTheme="majorBidi" w:cstheme="majorBidi"/>
                <w:b/>
                <w:color w:val="auto"/>
                <w:sz w:val="20"/>
                <w:szCs w:val="20"/>
                <w:vertAlign w:val="subscript"/>
              </w:rPr>
              <w:t xml:space="preserve">0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4.90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1.70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1.70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2.55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4.5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2.17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2.29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2.82 </w:t>
            </w:r>
          </w:p>
        </w:tc>
        <w:tc>
          <w:tcPr>
            <w:tcW w:w="458" w:type="dxa"/>
            <w:tcBorders>
              <w:top w:val="nil"/>
              <w:left w:val="nil"/>
              <w:bottom w:val="nil"/>
              <w:right w:val="nil"/>
            </w:tcBorders>
          </w:tcPr>
          <w:p w:rsidR="001F47D8" w:rsidRPr="00536B92" w:rsidRDefault="00860896">
            <w:pPr>
              <w:spacing w:after="0" w:line="259" w:lineRule="auto"/>
              <w:ind w:right="0" w:firstLine="0"/>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trPr>
          <w:trHeight w:val="345"/>
        </w:trPr>
        <w:tc>
          <w:tcPr>
            <w:tcW w:w="839" w:type="dxa"/>
            <w:tcBorders>
              <w:top w:val="nil"/>
              <w:left w:val="nil"/>
              <w:bottom w:val="nil"/>
              <w:right w:val="nil"/>
            </w:tcBorders>
          </w:tcPr>
          <w:p w:rsidR="001F47D8" w:rsidRPr="00536B92" w:rsidRDefault="00860896">
            <w:pPr>
              <w:spacing w:after="52"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GPCOG- </w:t>
            </w:r>
          </w:p>
          <w:p w:rsidR="001F47D8" w:rsidRPr="00536B92" w:rsidRDefault="00860896">
            <w:pPr>
              <w:spacing w:after="0" w:line="259" w:lineRule="auto"/>
              <w:ind w:left="119"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P1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7.08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2.24 </w:t>
            </w:r>
          </w:p>
        </w:tc>
        <w:tc>
          <w:tcPr>
            <w:tcW w:w="694" w:type="dxa"/>
            <w:tcBorders>
              <w:top w:val="nil"/>
              <w:left w:val="nil"/>
              <w:bottom w:val="nil"/>
              <w:right w:val="nil"/>
            </w:tcBorders>
          </w:tcPr>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3.6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1.29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6.47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4.18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1.97 </w:t>
            </w:r>
          </w:p>
        </w:tc>
        <w:tc>
          <w:tcPr>
            <w:tcW w:w="458" w:type="dxa"/>
            <w:tcBorders>
              <w:top w:val="nil"/>
              <w:left w:val="nil"/>
              <w:bottom w:val="nil"/>
              <w:right w:val="nil"/>
            </w:tcBorders>
          </w:tcPr>
          <w:p w:rsidR="001F47D8" w:rsidRPr="00536B92" w:rsidRDefault="00860896">
            <w:pPr>
              <w:spacing w:after="0" w:line="259" w:lineRule="auto"/>
              <w:ind w:right="0" w:firstLine="0"/>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trPr>
          <w:trHeight w:val="341"/>
        </w:trPr>
        <w:tc>
          <w:tcPr>
            <w:tcW w:w="83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GPCOG-I</w:t>
            </w:r>
            <w:r w:rsidRPr="00536B92">
              <w:rPr>
                <w:rFonts w:asciiTheme="majorBidi" w:hAnsiTheme="majorBidi" w:cstheme="majorBidi"/>
                <w:b/>
                <w:color w:val="auto"/>
                <w:sz w:val="20"/>
                <w:szCs w:val="20"/>
                <w:vertAlign w:val="subscript"/>
              </w:rPr>
              <w:t xml:space="preserve">1 </w:t>
            </w:r>
          </w:p>
        </w:tc>
        <w:tc>
          <w:tcPr>
            <w:tcW w:w="743" w:type="dxa"/>
            <w:tcBorders>
              <w:top w:val="nil"/>
              <w:left w:val="nil"/>
              <w:bottom w:val="nil"/>
              <w:right w:val="nil"/>
            </w:tcBorders>
          </w:tcPr>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4.2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2.32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1.54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3.84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2.53 </w:t>
            </w:r>
          </w:p>
        </w:tc>
        <w:tc>
          <w:tcPr>
            <w:tcW w:w="694" w:type="dxa"/>
            <w:tcBorders>
              <w:top w:val="nil"/>
              <w:left w:val="nil"/>
              <w:bottom w:val="nil"/>
              <w:right w:val="nil"/>
            </w:tcBorders>
          </w:tcPr>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2.2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2.78 </w:t>
            </w:r>
          </w:p>
        </w:tc>
        <w:tc>
          <w:tcPr>
            <w:tcW w:w="458"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0.007 </w:t>
            </w:r>
          </w:p>
        </w:tc>
      </w:tr>
      <w:tr w:rsidR="00536B92" w:rsidRPr="00536B92">
        <w:trPr>
          <w:trHeight w:val="345"/>
        </w:trPr>
        <w:tc>
          <w:tcPr>
            <w:tcW w:w="839" w:type="dxa"/>
            <w:tcBorders>
              <w:top w:val="nil"/>
              <w:left w:val="nil"/>
              <w:bottom w:val="nil"/>
              <w:right w:val="nil"/>
            </w:tcBorders>
          </w:tcPr>
          <w:p w:rsidR="001F47D8" w:rsidRPr="00536B92" w:rsidRDefault="00860896">
            <w:pPr>
              <w:spacing w:after="5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GPCOG- </w:t>
            </w:r>
          </w:p>
          <w:p w:rsidR="001F47D8" w:rsidRPr="00536B92" w:rsidRDefault="00860896">
            <w:pPr>
              <w:spacing w:after="0" w:line="259" w:lineRule="auto"/>
              <w:ind w:left="119"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 xml:space="preserve">P3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7.51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2.25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3.66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1.44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6.91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2.48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4.32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2.19 </w:t>
            </w:r>
          </w:p>
        </w:tc>
        <w:tc>
          <w:tcPr>
            <w:tcW w:w="458" w:type="dxa"/>
            <w:tcBorders>
              <w:top w:val="nil"/>
              <w:left w:val="nil"/>
              <w:bottom w:val="nil"/>
              <w:right w:val="nil"/>
            </w:tcBorders>
          </w:tcPr>
          <w:p w:rsidR="001F47D8" w:rsidRPr="00536B92" w:rsidRDefault="00860896">
            <w:pPr>
              <w:spacing w:after="0" w:line="259" w:lineRule="auto"/>
              <w:ind w:right="0" w:firstLine="0"/>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r>
      <w:tr w:rsidR="00536B92" w:rsidRPr="00536B92">
        <w:trPr>
          <w:trHeight w:val="359"/>
        </w:trPr>
        <w:tc>
          <w:tcPr>
            <w:tcW w:w="83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b/>
                <w:color w:val="auto"/>
                <w:sz w:val="20"/>
                <w:szCs w:val="20"/>
              </w:rPr>
              <w:t>GPCOG-I</w:t>
            </w:r>
            <w:r w:rsidRPr="00536B92">
              <w:rPr>
                <w:rFonts w:asciiTheme="majorBidi" w:hAnsiTheme="majorBidi" w:cstheme="majorBidi"/>
                <w:b/>
                <w:color w:val="auto"/>
                <w:sz w:val="20"/>
                <w:szCs w:val="20"/>
                <w:vertAlign w:val="subscript"/>
              </w:rPr>
              <w:t xml:space="preserve">3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3.99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2.34 </w:t>
            </w:r>
          </w:p>
        </w:tc>
        <w:tc>
          <w:tcPr>
            <w:tcW w:w="694"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1.47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2.49 </w:t>
            </w:r>
          </w:p>
        </w:tc>
        <w:tc>
          <w:tcPr>
            <w:tcW w:w="649"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i/>
                <w:color w:val="auto"/>
                <w:sz w:val="20"/>
                <w:szCs w:val="20"/>
              </w:rPr>
              <w:t>&lt;</w:t>
            </w:r>
            <w:r w:rsidRPr="00536B92">
              <w:rPr>
                <w:rFonts w:asciiTheme="majorBidi" w:hAnsiTheme="majorBidi" w:cstheme="majorBidi"/>
                <w:color w:val="auto"/>
                <w:sz w:val="20"/>
                <w:szCs w:val="20"/>
              </w:rPr>
              <w:t xml:space="preserve">0.001 </w:t>
            </w:r>
          </w:p>
        </w:tc>
        <w:tc>
          <w:tcPr>
            <w:tcW w:w="743" w:type="dxa"/>
            <w:tcBorders>
              <w:top w:val="nil"/>
              <w:left w:val="nil"/>
              <w:bottom w:val="nil"/>
              <w:right w:val="nil"/>
            </w:tcBorders>
          </w:tcPr>
          <w:p w:rsidR="001F47D8" w:rsidRPr="00536B92" w:rsidRDefault="00860896">
            <w:pPr>
              <w:spacing w:after="11"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3.58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2.52 </w:t>
            </w:r>
          </w:p>
        </w:tc>
        <w:tc>
          <w:tcPr>
            <w:tcW w:w="694" w:type="dxa"/>
            <w:tcBorders>
              <w:top w:val="nil"/>
              <w:left w:val="nil"/>
              <w:bottom w:val="nil"/>
              <w:right w:val="nil"/>
            </w:tcBorders>
          </w:tcPr>
          <w:p w:rsidR="001F47D8" w:rsidRPr="00536B92" w:rsidRDefault="00860896">
            <w:pPr>
              <w:spacing w:after="13"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2.4 ±</w:t>
            </w:r>
          </w:p>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2.98 </w:t>
            </w:r>
          </w:p>
        </w:tc>
        <w:tc>
          <w:tcPr>
            <w:tcW w:w="458" w:type="dxa"/>
            <w:tcBorders>
              <w:top w:val="nil"/>
              <w:left w:val="nil"/>
              <w:bottom w:val="nil"/>
              <w:right w:val="nil"/>
            </w:tcBorders>
          </w:tcPr>
          <w:p w:rsidR="001F47D8" w:rsidRPr="00536B92" w:rsidRDefault="00860896">
            <w:pPr>
              <w:spacing w:after="0" w:line="259" w:lineRule="auto"/>
              <w:ind w:right="0" w:firstLine="0"/>
              <w:jc w:val="left"/>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0.112 </w:t>
            </w:r>
          </w:p>
        </w:tc>
      </w:tr>
    </w:tbl>
    <w:p w:rsidR="001F47D8" w:rsidRPr="00536B92" w:rsidRDefault="00860896">
      <w:pPr>
        <w:spacing w:after="21" w:line="259" w:lineRule="auto"/>
        <w:ind w:left="1" w:right="0" w:firstLine="0"/>
        <w:jc w:val="left"/>
        <w:rPr>
          <w:rFonts w:asciiTheme="majorBidi" w:hAnsiTheme="majorBidi" w:cstheme="majorBidi"/>
          <w:color w:val="auto"/>
          <w:sz w:val="20"/>
          <w:szCs w:val="20"/>
        </w:rPr>
      </w:pPr>
      <w:r w:rsidRPr="00536B92">
        <w:rPr>
          <w:rFonts w:asciiTheme="majorBidi" w:hAnsiTheme="majorBidi" w:cstheme="majorBidi"/>
          <w:noProof/>
          <w:color w:val="auto"/>
          <w:sz w:val="20"/>
          <w:szCs w:val="20"/>
        </w:rPr>
        <mc:AlternateContent>
          <mc:Choice Requires="wpg">
            <w:drawing>
              <wp:inline distT="0" distB="0" distL="0" distR="0" wp14:anchorId="6D3C693A" wp14:editId="419DC065">
                <wp:extent cx="3188438" cy="6324"/>
                <wp:effectExtent l="0" t="0" r="0" b="0"/>
                <wp:docPr id="16746" name="Group 16746"/>
                <wp:cNvGraphicFramePr/>
                <a:graphic xmlns:a="http://schemas.openxmlformats.org/drawingml/2006/main">
                  <a:graphicData uri="http://schemas.microsoft.com/office/word/2010/wordprocessingGroup">
                    <wpg:wgp>
                      <wpg:cNvGrpSpPr/>
                      <wpg:grpSpPr>
                        <a:xfrm>
                          <a:off x="0" y="0"/>
                          <a:ext cx="3188438" cy="6324"/>
                          <a:chOff x="0" y="0"/>
                          <a:chExt cx="3188438" cy="6324"/>
                        </a:xfrm>
                      </wpg:grpSpPr>
                      <wps:wsp>
                        <wps:cNvPr id="18880" name="Shape 18880"/>
                        <wps:cNvSpPr/>
                        <wps:spPr>
                          <a:xfrm>
                            <a:off x="0" y="0"/>
                            <a:ext cx="3188438" cy="9144"/>
                          </a:xfrm>
                          <a:custGeom>
                            <a:avLst/>
                            <a:gdLst/>
                            <a:ahLst/>
                            <a:cxnLst/>
                            <a:rect l="0" t="0" r="0" b="0"/>
                            <a:pathLst>
                              <a:path w="3188438" h="9144">
                                <a:moveTo>
                                  <a:pt x="0" y="0"/>
                                </a:moveTo>
                                <a:lnTo>
                                  <a:pt x="3188438" y="0"/>
                                </a:lnTo>
                                <a:lnTo>
                                  <a:pt x="31884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4ED8B1C" id="Group 16746" o:spid="_x0000_s1026" style="width:251.05pt;height:.5pt;mso-position-horizontal-relative:char;mso-position-vertical-relative:line" coordsize="318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">
                <v:shape id="Shape 18880" o:spid="_x0000_s1027" style="position:absolute;width:31884;height:91;visibility:visible;mso-wrap-style:square;v-text-anchor:top" coordsize="31884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HCfMYA&#10;AADeAAAADwAAAGRycy9kb3ducmV2LnhtbESPQWvCQBCF7wX/wzKCl6KbWlpCdBVJUXpttJ6H7JgE&#10;s7Mxu2rsr+8cCr3NMG/ee99yPbhW3agPjWcDL7MEFHHpbcOVgcN+O01BhYhssfVMBh4UYL0aPS0x&#10;s/7OX3QrYqXEhEOGBuoYu0zrUNbkMMx8Ryy3k+8dRln7Stse72LuWj1PknftsGFJqLGjvKbyXFyd&#10;gf31VR/efp7PH/6xy4dL3sTjd2HMZDxsFqAiDfFf/Pf9aaV+mqYCIDgyg1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HCfMYAAADeAAAADwAAAAAAAAAAAAAAAACYAgAAZHJz&#10;L2Rvd25yZXYueG1sUEsFBgAAAAAEAAQA9QAAAIsDAAAAAA==&#10;" path="m,l3188438,r,9144l,9144,,e" fillcolor="black" stroked="f" strokeweight="0">
                  <v:stroke miterlimit="83231f" joinstyle="miter"/>
                  <v:path arrowok="t" textboxrect="0,0,3188438,9144"/>
                </v:shape>
                <w10:wrap anchorx="page"/>
                <w10:anchorlock/>
              </v:group>
            </w:pict>
          </mc:Fallback>
        </mc:AlternateContent>
      </w:r>
    </w:p>
    <w:p w:rsidR="00A76678" w:rsidRPr="00536B92" w:rsidRDefault="00860896" w:rsidP="00A76678">
      <w:pPr>
        <w:spacing w:after="624"/>
        <w:ind w:left="-15" w:right="0" w:firstLine="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Note. 0: at the time of hospital discharge, 1: 1 month after discharge, 3: 3 months after discharge. </w:t>
      </w:r>
      <w:proofErr w:type="gramStart"/>
      <w:r w:rsidR="00A76678" w:rsidRPr="00536B92">
        <w:rPr>
          <w:rFonts w:asciiTheme="majorBidi" w:hAnsiTheme="majorBidi" w:cstheme="majorBidi"/>
          <w:color w:val="auto"/>
          <w:sz w:val="20"/>
          <w:szCs w:val="20"/>
        </w:rPr>
        <w:t>cognitive</w:t>
      </w:r>
      <w:proofErr w:type="gramEnd"/>
      <w:r w:rsidR="00A76678" w:rsidRPr="00536B92">
        <w:rPr>
          <w:rFonts w:asciiTheme="majorBidi" w:hAnsiTheme="majorBidi" w:cstheme="majorBidi"/>
          <w:color w:val="auto"/>
          <w:sz w:val="20"/>
          <w:szCs w:val="20"/>
        </w:rPr>
        <w:t xml:space="preserve"> function is associated with improved daily activities. Anxiety and depression are also correlated. These correlations remained relatively unchanged throughout the study (Supplementary Tables 1 and 2). </w:t>
      </w:r>
    </w:p>
    <w:p w:rsidR="001F47D8" w:rsidRPr="00536B92" w:rsidRDefault="001F47D8">
      <w:pPr>
        <w:spacing w:after="256" w:line="265" w:lineRule="auto"/>
        <w:ind w:left="-4" w:right="32" w:hanging="10"/>
        <w:jc w:val="left"/>
        <w:rPr>
          <w:rFonts w:asciiTheme="majorBidi" w:hAnsiTheme="majorBidi" w:cstheme="majorBidi"/>
          <w:color w:val="auto"/>
          <w:sz w:val="20"/>
          <w:szCs w:val="20"/>
        </w:rPr>
      </w:pPr>
    </w:p>
    <w:p w:rsidR="00A76678" w:rsidRPr="00536B92" w:rsidRDefault="00A76678" w:rsidP="00A76678">
      <w:pPr>
        <w:spacing w:line="265" w:lineRule="auto"/>
        <w:ind w:left="-4" w:right="32" w:hanging="10"/>
        <w:jc w:val="left"/>
        <w:rPr>
          <w:rFonts w:asciiTheme="majorBidi" w:hAnsiTheme="majorBidi" w:cstheme="majorBidi"/>
          <w:color w:val="auto"/>
          <w:sz w:val="20"/>
          <w:szCs w:val="20"/>
        </w:rPr>
      </w:pPr>
      <w:r>
        <w:rPr>
          <w:rFonts w:asciiTheme="majorBidi" w:hAnsiTheme="majorBidi" w:cstheme="majorBidi"/>
          <w:b/>
          <w:color w:val="auto"/>
          <w:sz w:val="20"/>
          <w:szCs w:val="20"/>
        </w:rPr>
        <w:t xml:space="preserve">Table 5: </w:t>
      </w:r>
      <w:r w:rsidRPr="00536B92">
        <w:rPr>
          <w:rFonts w:asciiTheme="majorBidi" w:hAnsiTheme="majorBidi" w:cstheme="majorBidi"/>
          <w:color w:val="auto"/>
          <w:sz w:val="20"/>
          <w:szCs w:val="20"/>
        </w:rPr>
        <w:t xml:space="preserve">Correlations between variables at the time of discharge. </w:t>
      </w:r>
    </w:p>
    <w:tbl>
      <w:tblPr>
        <w:tblW w:w="10401" w:type="dxa"/>
        <w:tblInd w:w="1" w:type="dxa"/>
        <w:tblCellMar>
          <w:left w:w="0" w:type="dxa"/>
          <w:right w:w="92" w:type="dxa"/>
        </w:tblCellMar>
        <w:tblLook w:val="04A0" w:firstRow="1" w:lastRow="0" w:firstColumn="1" w:lastColumn="0" w:noHBand="0" w:noVBand="1"/>
      </w:tblPr>
      <w:tblGrid>
        <w:gridCol w:w="1661"/>
        <w:gridCol w:w="1411"/>
        <w:gridCol w:w="1379"/>
        <w:gridCol w:w="1274"/>
        <w:gridCol w:w="1273"/>
        <w:gridCol w:w="1308"/>
        <w:gridCol w:w="1490"/>
        <w:gridCol w:w="605"/>
      </w:tblGrid>
      <w:tr w:rsidR="00A76678" w:rsidRPr="00A76678" w:rsidTr="00A76678">
        <w:trPr>
          <w:trHeight w:val="263"/>
        </w:trPr>
        <w:tc>
          <w:tcPr>
            <w:tcW w:w="1661"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Variables </w:t>
            </w:r>
          </w:p>
        </w:tc>
        <w:tc>
          <w:tcPr>
            <w:tcW w:w="1411"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GPCOG-P </w:t>
            </w:r>
          </w:p>
        </w:tc>
        <w:tc>
          <w:tcPr>
            <w:tcW w:w="1379"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GPCOG-I </w:t>
            </w:r>
          </w:p>
        </w:tc>
        <w:tc>
          <w:tcPr>
            <w:tcW w:w="1274"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BADL </w:t>
            </w:r>
          </w:p>
        </w:tc>
        <w:tc>
          <w:tcPr>
            <w:tcW w:w="1273"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IADL </w:t>
            </w:r>
          </w:p>
        </w:tc>
        <w:tc>
          <w:tcPr>
            <w:tcW w:w="1308"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Anxiety </w:t>
            </w:r>
          </w:p>
        </w:tc>
        <w:tc>
          <w:tcPr>
            <w:tcW w:w="1490"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Depression </w:t>
            </w:r>
          </w:p>
        </w:tc>
        <w:tc>
          <w:tcPr>
            <w:tcW w:w="605" w:type="dxa"/>
            <w:tcBorders>
              <w:top w:val="single" w:sz="4" w:space="0" w:color="000000"/>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Age </w:t>
            </w:r>
          </w:p>
        </w:tc>
      </w:tr>
      <w:tr w:rsidR="00A76678" w:rsidRPr="00A76678" w:rsidTr="00A76678">
        <w:trPr>
          <w:trHeight w:val="558"/>
        </w:trPr>
        <w:tc>
          <w:tcPr>
            <w:tcW w:w="1661"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GPCOG-P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GPCOG-I  BADL   </w:t>
            </w:r>
          </w:p>
        </w:tc>
        <w:tc>
          <w:tcPr>
            <w:tcW w:w="1411"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1379"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+0.76</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1274"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+0.34</w:t>
            </w:r>
            <w:r w:rsidRPr="00A76678">
              <w:rPr>
                <w:rFonts w:asciiTheme="majorBidi" w:hAnsiTheme="majorBidi" w:cstheme="majorBidi"/>
                <w:color w:val="auto"/>
                <w:sz w:val="20"/>
                <w:szCs w:val="20"/>
                <w:vertAlign w:val="superscript"/>
              </w:rPr>
              <w:t xml:space="preserve">b </w:t>
            </w:r>
            <w:r w:rsidRPr="00A76678">
              <w:rPr>
                <w:rFonts w:asciiTheme="majorBidi" w:hAnsiTheme="majorBidi" w:cstheme="majorBidi"/>
                <w:color w:val="auto"/>
                <w:sz w:val="20"/>
                <w:szCs w:val="20"/>
              </w:rPr>
              <w:t>+0.15</w:t>
            </w:r>
            <w:r w:rsidRPr="00A76678">
              <w:rPr>
                <w:rFonts w:asciiTheme="majorBidi" w:hAnsiTheme="majorBidi" w:cstheme="majorBidi"/>
                <w:color w:val="auto"/>
                <w:sz w:val="20"/>
                <w:szCs w:val="20"/>
                <w:vertAlign w:val="superscript"/>
              </w:rPr>
              <w:t xml:space="preserve">a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1273"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− 0.15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− 0.12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+0.43</w:t>
            </w:r>
            <w:r w:rsidRPr="00A76678">
              <w:rPr>
                <w:rFonts w:asciiTheme="majorBidi" w:hAnsiTheme="majorBidi" w:cstheme="majorBidi"/>
                <w:color w:val="auto"/>
                <w:sz w:val="20"/>
                <w:szCs w:val="20"/>
                <w:vertAlign w:val="superscript"/>
              </w:rPr>
              <w:t xml:space="preserve">b </w:t>
            </w:r>
          </w:p>
        </w:tc>
        <w:tc>
          <w:tcPr>
            <w:tcW w:w="1308"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− 0.66</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− 0.72</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− 0.24</w:t>
            </w:r>
            <w:r w:rsidRPr="00A76678">
              <w:rPr>
                <w:rFonts w:asciiTheme="majorBidi" w:hAnsiTheme="majorBidi" w:cstheme="majorBidi"/>
                <w:color w:val="auto"/>
                <w:sz w:val="20"/>
                <w:szCs w:val="20"/>
                <w:vertAlign w:val="superscript"/>
              </w:rPr>
              <w:t xml:space="preserve">b </w:t>
            </w:r>
          </w:p>
        </w:tc>
        <w:tc>
          <w:tcPr>
            <w:tcW w:w="1490"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− 0.749</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− 0.75</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− 0.21</w:t>
            </w:r>
            <w:r w:rsidRPr="00A76678">
              <w:rPr>
                <w:rFonts w:asciiTheme="majorBidi" w:hAnsiTheme="majorBidi" w:cstheme="majorBidi"/>
                <w:color w:val="auto"/>
                <w:sz w:val="20"/>
                <w:szCs w:val="20"/>
                <w:vertAlign w:val="superscript"/>
              </w:rPr>
              <w:t xml:space="preserve">b </w:t>
            </w:r>
          </w:p>
        </w:tc>
        <w:tc>
          <w:tcPr>
            <w:tcW w:w="605" w:type="dxa"/>
            <w:tcBorders>
              <w:top w:val="single" w:sz="4" w:space="0" w:color="000000"/>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− 0.3</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− 0.16</w:t>
            </w:r>
            <w:r w:rsidRPr="00A76678">
              <w:rPr>
                <w:rFonts w:asciiTheme="majorBidi" w:hAnsiTheme="majorBidi" w:cstheme="majorBidi"/>
                <w:color w:val="auto"/>
                <w:sz w:val="20"/>
                <w:szCs w:val="20"/>
                <w:vertAlign w:val="superscript"/>
              </w:rPr>
              <w:t xml:space="preserve">a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− 0.16</w:t>
            </w:r>
            <w:r w:rsidRPr="00A76678">
              <w:rPr>
                <w:rFonts w:asciiTheme="majorBidi" w:hAnsiTheme="majorBidi" w:cstheme="majorBidi"/>
                <w:color w:val="auto"/>
                <w:sz w:val="20"/>
                <w:szCs w:val="20"/>
                <w:vertAlign w:val="superscript"/>
              </w:rPr>
              <w:t xml:space="preserve">b </w:t>
            </w:r>
          </w:p>
        </w:tc>
      </w:tr>
      <w:tr w:rsidR="00A76678" w:rsidRPr="00A76678" w:rsidTr="00A76678">
        <w:trPr>
          <w:trHeight w:val="514"/>
        </w:trPr>
        <w:tc>
          <w:tcPr>
            <w:tcW w:w="1661"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IADL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Anxiety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Depression      </w:t>
            </w:r>
          </w:p>
        </w:tc>
        <w:tc>
          <w:tcPr>
            <w:tcW w:w="1411" w:type="dxa"/>
            <w:tcBorders>
              <w:top w:val="nil"/>
              <w:left w:val="nil"/>
              <w:bottom w:val="nil"/>
              <w:right w:val="nil"/>
            </w:tcBorders>
            <w:vAlign w:val="center"/>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379"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274"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273"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1308"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− 0.07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1490"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− 0.08 +0.82</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c>
          <w:tcPr>
            <w:tcW w:w="605" w:type="dxa"/>
            <w:tcBorders>
              <w:top w:val="nil"/>
              <w:left w:val="nil"/>
              <w:bottom w:val="nil"/>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− 0.02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+0.2</w:t>
            </w:r>
            <w:r w:rsidRPr="00A76678">
              <w:rPr>
                <w:rFonts w:asciiTheme="majorBidi" w:hAnsiTheme="majorBidi" w:cstheme="majorBidi"/>
                <w:color w:val="auto"/>
                <w:sz w:val="20"/>
                <w:szCs w:val="20"/>
                <w:vertAlign w:val="superscript"/>
              </w:rPr>
              <w:t xml:space="preserve">b </w:t>
            </w:r>
          </w:p>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+0.25</w:t>
            </w:r>
            <w:r w:rsidRPr="00A76678">
              <w:rPr>
                <w:rFonts w:asciiTheme="majorBidi" w:hAnsiTheme="majorBidi" w:cstheme="majorBidi"/>
                <w:color w:val="auto"/>
                <w:sz w:val="20"/>
                <w:szCs w:val="20"/>
                <w:vertAlign w:val="superscript"/>
              </w:rPr>
              <w:t xml:space="preserve">b </w:t>
            </w:r>
          </w:p>
        </w:tc>
      </w:tr>
      <w:tr w:rsidR="00A76678" w:rsidRPr="00A76678" w:rsidTr="00A76678">
        <w:trPr>
          <w:trHeight w:val="219"/>
        </w:trPr>
        <w:tc>
          <w:tcPr>
            <w:tcW w:w="1661"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b/>
                <w:color w:val="auto"/>
                <w:sz w:val="20"/>
                <w:szCs w:val="20"/>
              </w:rPr>
              <w:t xml:space="preserve">Age       </w:t>
            </w:r>
          </w:p>
        </w:tc>
        <w:tc>
          <w:tcPr>
            <w:tcW w:w="1411"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379"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274"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273"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308"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1490"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p>
        </w:tc>
        <w:tc>
          <w:tcPr>
            <w:tcW w:w="605" w:type="dxa"/>
            <w:tcBorders>
              <w:top w:val="nil"/>
              <w:left w:val="nil"/>
              <w:bottom w:val="single" w:sz="4" w:space="0" w:color="000000"/>
              <w:right w:val="nil"/>
            </w:tcBorders>
          </w:tcPr>
          <w:p w:rsidR="00A76678" w:rsidRPr="00A76678" w:rsidRDefault="00A76678" w:rsidP="00A76678">
            <w:pPr>
              <w:spacing w:after="2" w:line="259" w:lineRule="auto"/>
              <w:ind w:left="-5" w:right="0" w:hanging="10"/>
              <w:jc w:val="left"/>
              <w:rPr>
                <w:rFonts w:asciiTheme="majorBidi" w:hAnsiTheme="majorBidi" w:cstheme="majorBidi"/>
                <w:color w:val="auto"/>
                <w:sz w:val="20"/>
                <w:szCs w:val="20"/>
              </w:rPr>
            </w:pPr>
            <w:r w:rsidRPr="00A76678">
              <w:rPr>
                <w:rFonts w:asciiTheme="majorBidi" w:hAnsiTheme="majorBidi" w:cstheme="majorBidi"/>
                <w:color w:val="auto"/>
                <w:sz w:val="20"/>
                <w:szCs w:val="20"/>
              </w:rPr>
              <w:t xml:space="preserve">1 </w:t>
            </w:r>
          </w:p>
        </w:tc>
      </w:tr>
    </w:tbl>
    <w:p w:rsidR="001F47D8" w:rsidRPr="00A76678" w:rsidRDefault="00A76678">
      <w:pPr>
        <w:spacing w:after="2" w:line="259" w:lineRule="auto"/>
        <w:ind w:left="-5" w:right="0" w:hanging="10"/>
        <w:jc w:val="left"/>
        <w:rPr>
          <w:rFonts w:asciiTheme="majorBidi" w:hAnsiTheme="majorBidi" w:cstheme="majorBidi"/>
          <w:color w:val="auto"/>
          <w:sz w:val="28"/>
          <w:szCs w:val="28"/>
        </w:rPr>
      </w:pPr>
      <w:r w:rsidRPr="00A76678">
        <w:rPr>
          <w:rFonts w:asciiTheme="majorBidi" w:hAnsiTheme="majorBidi" w:cstheme="majorBidi"/>
          <w:sz w:val="20"/>
          <w:szCs w:val="32"/>
        </w:rPr>
        <w:t xml:space="preserve">Note. </w:t>
      </w:r>
      <w:proofErr w:type="gramStart"/>
      <w:r w:rsidRPr="00A76678">
        <w:rPr>
          <w:rFonts w:asciiTheme="majorBidi" w:hAnsiTheme="majorBidi" w:cstheme="majorBidi"/>
          <w:sz w:val="20"/>
          <w:szCs w:val="32"/>
          <w:vertAlign w:val="superscript"/>
        </w:rPr>
        <w:t>a</w:t>
      </w:r>
      <w:proofErr w:type="gramEnd"/>
      <w:r w:rsidRPr="00A76678">
        <w:rPr>
          <w:rFonts w:asciiTheme="majorBidi" w:hAnsiTheme="majorBidi" w:cstheme="majorBidi"/>
          <w:sz w:val="20"/>
          <w:szCs w:val="32"/>
          <w:vertAlign w:val="superscript"/>
        </w:rPr>
        <w:t xml:space="preserve"> </w:t>
      </w:r>
      <w:r w:rsidRPr="00A76678">
        <w:rPr>
          <w:rFonts w:asciiTheme="majorBidi" w:hAnsiTheme="majorBidi" w:cstheme="majorBidi"/>
          <w:sz w:val="20"/>
          <w:szCs w:val="32"/>
        </w:rPr>
        <w:t xml:space="preserve">P value </w:t>
      </w:r>
      <w:r w:rsidRPr="00A76678">
        <w:rPr>
          <w:rFonts w:asciiTheme="majorBidi" w:hAnsiTheme="majorBidi" w:cstheme="majorBidi"/>
          <w:i/>
          <w:sz w:val="20"/>
          <w:szCs w:val="32"/>
        </w:rPr>
        <w:t xml:space="preserve">&lt; </w:t>
      </w:r>
      <w:r w:rsidRPr="00A76678">
        <w:rPr>
          <w:rFonts w:asciiTheme="majorBidi" w:hAnsiTheme="majorBidi" w:cstheme="majorBidi"/>
          <w:sz w:val="20"/>
          <w:szCs w:val="32"/>
        </w:rPr>
        <w:t xml:space="preserve">0.05. </w:t>
      </w:r>
      <w:proofErr w:type="gramStart"/>
      <w:r w:rsidRPr="00A76678">
        <w:rPr>
          <w:rFonts w:asciiTheme="majorBidi" w:hAnsiTheme="majorBidi" w:cstheme="majorBidi"/>
          <w:sz w:val="20"/>
          <w:szCs w:val="32"/>
          <w:vertAlign w:val="superscript"/>
        </w:rPr>
        <w:t>b</w:t>
      </w:r>
      <w:proofErr w:type="gramEnd"/>
      <w:r w:rsidRPr="00A76678">
        <w:rPr>
          <w:rFonts w:asciiTheme="majorBidi" w:hAnsiTheme="majorBidi" w:cstheme="majorBidi"/>
          <w:sz w:val="20"/>
          <w:szCs w:val="32"/>
          <w:vertAlign w:val="superscript"/>
        </w:rPr>
        <w:t xml:space="preserve"> </w:t>
      </w:r>
      <w:r w:rsidRPr="00A76678">
        <w:rPr>
          <w:rFonts w:asciiTheme="majorBidi" w:hAnsiTheme="majorBidi" w:cstheme="majorBidi"/>
          <w:sz w:val="20"/>
          <w:szCs w:val="32"/>
        </w:rPr>
        <w:t>P-value</w:t>
      </w:r>
      <w:r w:rsidRPr="00A76678">
        <w:rPr>
          <w:rFonts w:asciiTheme="majorBidi" w:hAnsiTheme="majorBidi" w:cstheme="majorBidi"/>
          <w:i/>
          <w:sz w:val="20"/>
          <w:szCs w:val="32"/>
        </w:rPr>
        <w:t>&lt;</w:t>
      </w:r>
      <w:r w:rsidRPr="00A76678">
        <w:rPr>
          <w:rFonts w:asciiTheme="majorBidi" w:hAnsiTheme="majorBidi" w:cstheme="majorBidi"/>
          <w:sz w:val="20"/>
          <w:szCs w:val="32"/>
        </w:rPr>
        <w:t>0.01.</w:t>
      </w:r>
    </w:p>
    <w:p w:rsidR="00536B92" w:rsidRPr="00536B92" w:rsidRDefault="00536B92">
      <w:pPr>
        <w:spacing w:line="265" w:lineRule="auto"/>
        <w:ind w:left="-4" w:right="32" w:hanging="10"/>
        <w:jc w:val="left"/>
        <w:rPr>
          <w:rFonts w:asciiTheme="majorBidi" w:hAnsiTheme="majorBidi" w:cstheme="majorBidi"/>
          <w:color w:val="auto"/>
          <w:sz w:val="20"/>
          <w:szCs w:val="20"/>
        </w:rPr>
      </w:pPr>
    </w:p>
    <w:p w:rsidR="00536B92" w:rsidRPr="00536B92" w:rsidRDefault="00536B92">
      <w:pPr>
        <w:spacing w:line="265" w:lineRule="auto"/>
        <w:ind w:left="-4" w:right="32" w:hanging="10"/>
        <w:jc w:val="left"/>
        <w:rPr>
          <w:rFonts w:asciiTheme="majorBidi" w:hAnsiTheme="majorBidi" w:cstheme="majorBidi"/>
          <w:color w:val="auto"/>
          <w:sz w:val="20"/>
          <w:szCs w:val="20"/>
        </w:rPr>
      </w:pPr>
    </w:p>
    <w:p w:rsidR="001F47D8" w:rsidRPr="00536B92" w:rsidRDefault="00860896">
      <w:pPr>
        <w:pStyle w:val="Heading1"/>
        <w:ind w:left="229" w:hanging="244"/>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Discussion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present study aimed to investigate the relationship between inflammation and global cognition in older survivors of COVID-19 three months after discharge. A cognitive assessment of patients indicated lower mean scores on the informant subscales of the GPCOG at the time of discharge and the 1- and 3-month follow-up intervals (2.30 (±2.62), 2.82 (±2.72), 2.99 (±2.69) respectively) compared to mean scores of informant subscale GPCOG in the validation study performed on community-dwelling older adults in Iran (3.49 (±2.24)) [31]. These findings are consistent with those of other studies that reported cognitive decline after respiratory distress syndrome [35] and COVID-19 infection [36].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study’s findings revealed that despite lower scores on the informant subscale of the GPCOG over time, patients showed significant improvement in cognitive function, as assessed by the GPCOG-P and GPCOG-I. These findings suggest that older COVID-19 survivors may experience recovery in cognitive abilities over time, which may lead to promising results for the overall well-being and quality of life of COVID- 19 survivors. This upward trajectory in cognitive performance after recovery highlights the promising prospects for cognitive rehabilitation and recuperation in those who have faced cognitive difficulties due to COVID-19.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mean anxiety and depression scores of patients were higher than the cutoff points for the diagnosis of anxiety and depression. While anxiety scores demonstrated improvement over time, depression scores remained relatively unchanged. It should be noted that both anxiety and depression could have detrimental impacts on cognitive function. The lack of improvement in depression </w:t>
      </w:r>
      <w:r w:rsidRPr="00536B92">
        <w:rPr>
          <w:rFonts w:asciiTheme="majorBidi" w:hAnsiTheme="majorBidi" w:cstheme="majorBidi"/>
          <w:color w:val="auto"/>
          <w:sz w:val="20"/>
          <w:szCs w:val="20"/>
        </w:rPr>
        <w:lastRenderedPageBreak/>
        <w:t xml:space="preserve">scores may indicate the durability of cognitive impairment, while an anxiety reduction may contribute to improving trends in cognition. This significant discovery underscores the importance of implementing focused interventions to address depression, which is essential for reducing its negative impact on cognitive functions and general well-being [37]. </w:t>
      </w:r>
    </w:p>
    <w:p w:rsidR="00536B92" w:rsidRPr="00536B92" w:rsidRDefault="00860896" w:rsidP="00536B92">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Additionally, IADL improved significantly over time. IADL refers to more complex daily tasks that require greater global cognitive functioning, such as managing finances or using technology. The lower IADL scores suggest that COVID-19 survivors may experience difficulties performing these complex tasks, potentially due to cognitive impairments. An improvement in cognition results in an improvement in IADL. However, there were no significant changes in Basic Activities of Daily Living (BADL) over time.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CRP is a strong indicator of acute inflammation, and there is a reverse correlation between respiratory performance and CRP [41]. Elevated CRP is a risk factor for developing cognitive impairment and dementia [43], and an association between CRP and cognition was shown for COVID-19 survival [44]. </w:t>
      </w:r>
    </w:p>
    <w:p w:rsidR="001F47D8" w:rsidRPr="00536B92" w:rsidRDefault="00860896">
      <w:pPr>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In patients with COVID-19, D-dimer levels during the acute phase are associated with cognitive impairment [45]. An elevated D-dimer concentration in patients with COVID-19 is a risk factor for venous thromboembolism [46]. Cerebral </w:t>
      </w:r>
      <w:proofErr w:type="spellStart"/>
      <w:r w:rsidRPr="00536B92">
        <w:rPr>
          <w:rFonts w:asciiTheme="majorBidi" w:hAnsiTheme="majorBidi" w:cstheme="majorBidi"/>
          <w:color w:val="auto"/>
          <w:sz w:val="20"/>
          <w:szCs w:val="20"/>
        </w:rPr>
        <w:t>microthrombi</w:t>
      </w:r>
      <w:proofErr w:type="spellEnd"/>
      <w:r w:rsidRPr="00536B92">
        <w:rPr>
          <w:rFonts w:asciiTheme="majorBidi" w:hAnsiTheme="majorBidi" w:cstheme="majorBidi"/>
          <w:color w:val="auto"/>
          <w:sz w:val="20"/>
          <w:szCs w:val="20"/>
        </w:rPr>
        <w:t xml:space="preserve"> may explain the relationship between a positive D-dimer level and cognitive decline, which has been observed post-COVID-19 autopsy [47]. Additionally, pulmonary </w:t>
      </w:r>
      <w:proofErr w:type="spellStart"/>
      <w:r w:rsidRPr="00536B92">
        <w:rPr>
          <w:rFonts w:asciiTheme="majorBidi" w:hAnsiTheme="majorBidi" w:cstheme="majorBidi"/>
          <w:color w:val="auto"/>
          <w:sz w:val="20"/>
          <w:szCs w:val="20"/>
        </w:rPr>
        <w:t>hypoperfusion</w:t>
      </w:r>
      <w:proofErr w:type="spellEnd"/>
      <w:r w:rsidRPr="00536B92">
        <w:rPr>
          <w:rFonts w:asciiTheme="majorBidi" w:hAnsiTheme="majorBidi" w:cstheme="majorBidi"/>
          <w:color w:val="auto"/>
          <w:sz w:val="20"/>
          <w:szCs w:val="20"/>
        </w:rPr>
        <w:t xml:space="preserve"> due to thromboembolism in the presence of higher D-dimer concentrations may lead to hypoxia and cognitive impairment [25]. </w:t>
      </w:r>
    </w:p>
    <w:p w:rsidR="001F47D8" w:rsidRPr="00536B92" w:rsidRDefault="00860896">
      <w:pPr>
        <w:spacing w:after="222"/>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The limitations of this study warrant consideration. Firstly, the small sample size may affect the generalizability of the results. Future research with larger, more varied cohorts is needed to deepen our understanding of the link between inflammation and cognitive decline in older adults who have recovered from COVID-19. Secondly, the lack of a control group with another respiratory illness challenges the specificity of cognitive deficits to COVID-19. Thirdly, the observational design limits causal inferences; thus, longitudinal and experimental studies are necessary to clarify the temporal and causal dynamics between inflammation and cognitive health. Fourthly, cognition in older adults is influenced by numerous factors, making it difficult to isolate the effects of inflammation. Fifthly, the study only measured peripheral blood biomarkers at hospital admission, not accounting for changes over time; a longitudinal approach could yield a fuller picture of cognitive outcomes post-COVID-19. Sixth, the absence of a validated cognitive score cut-off in the Iranian context hinders the assessment precision. Seventh, the study did not examine gender differences, which could be influential. Lastly, the GPCOG, being a brief screening tool, necessitates further investigation to </w:t>
      </w:r>
      <w:proofErr w:type="gramStart"/>
      <w:r w:rsidRPr="00536B92">
        <w:rPr>
          <w:rFonts w:asciiTheme="majorBidi" w:hAnsiTheme="majorBidi" w:cstheme="majorBidi"/>
          <w:color w:val="auto"/>
          <w:sz w:val="20"/>
          <w:szCs w:val="20"/>
        </w:rPr>
        <w:t>identify</w:t>
      </w:r>
      <w:proofErr w:type="gramEnd"/>
      <w:r w:rsidRPr="00536B92">
        <w:rPr>
          <w:rFonts w:asciiTheme="majorBidi" w:hAnsiTheme="majorBidi" w:cstheme="majorBidi"/>
          <w:color w:val="auto"/>
          <w:sz w:val="20"/>
          <w:szCs w:val="20"/>
        </w:rPr>
        <w:t xml:space="preserve"> cognitive domains most vulnerable to impairment. </w:t>
      </w:r>
    </w:p>
    <w:p w:rsidR="001F47D8" w:rsidRPr="00536B92" w:rsidRDefault="00860896">
      <w:pPr>
        <w:pStyle w:val="Heading1"/>
        <w:ind w:left="230" w:hanging="245"/>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Conclusion </w:t>
      </w:r>
    </w:p>
    <w:p w:rsidR="001F47D8" w:rsidRPr="00536B92" w:rsidRDefault="00860896" w:rsidP="00A76678">
      <w:pPr>
        <w:spacing w:after="0"/>
        <w:ind w:left="-15" w:right="0"/>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In conclusion, this research adds valuable insights to the existing knowledge on the interplay between inflammation and overall cognitive performance among older individuals who have recovered from COVID- 19. The study indicates that over time, there is a general improvement in cognitive abilities, anxiety levels, and Instrumental Activities of Daily Living (IADL), whereas depression and the ability to perform basic daily tasks may continue to pose difficulties. Furthermore, these outcomes illuminate the intricate interconnections between inflammatory processes and cognitive health, proposing that various inflammatory indicators could influence cognitive results differently. The implications of these findings are significant for crafting specialized intervention and rehabilitation programs aimed at fostering cognitive recuperation and enhancing the quality of life for those who have survived COVID-19. Nonetheless, it is imperative to conduct additional research to further elucidate the fundamental processes and the enduring impact of inflammation on the cognitive well-being of this demographic. </w:t>
      </w:r>
    </w:p>
    <w:p w:rsidR="00536B92" w:rsidRPr="00536B92" w:rsidRDefault="00860896"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Statement of ethics</w:t>
      </w:r>
      <w:r w:rsidR="00536B92" w:rsidRPr="00536B92">
        <w:rPr>
          <w:rFonts w:asciiTheme="majorBidi" w:hAnsiTheme="majorBidi" w:cstheme="majorBidi"/>
          <w:b/>
          <w:bCs/>
          <w:color w:val="auto"/>
          <w:sz w:val="20"/>
          <w:szCs w:val="20"/>
        </w:rPr>
        <w:t>:</w:t>
      </w:r>
      <w:r w:rsidR="00536B92" w:rsidRPr="00536B92">
        <w:rPr>
          <w:rFonts w:asciiTheme="majorBidi" w:hAnsiTheme="majorBidi" w:cstheme="majorBidi"/>
          <w:color w:val="auto"/>
          <w:sz w:val="20"/>
          <w:szCs w:val="20"/>
        </w:rPr>
        <w:t xml:space="preserve"> </w:t>
      </w:r>
      <w:r w:rsidRP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 xml:space="preserve">This study was approved by the Bioethics Committee of Ahvaz Jundishapur University of Medical Sciences (registration number: IR. AJUMS.REC.1400.244) and was conducted according to the principles of the Declaration of Helsinki. Informed consent was obtained from all individual participants included in the study. </w:t>
      </w:r>
    </w:p>
    <w:p w:rsidR="00536B92" w:rsidRPr="00536B92" w:rsidRDefault="00536B92"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Funding sources:</w:t>
      </w:r>
      <w:r w:rsidRPr="00536B92">
        <w:rPr>
          <w:rFonts w:asciiTheme="majorBidi" w:hAnsiTheme="majorBidi" w:cstheme="majorBidi"/>
          <w:color w:val="auto"/>
          <w:sz w:val="20"/>
          <w:szCs w:val="20"/>
        </w:rPr>
        <w:t xml:space="preserve"> This research did not receive any specific grant from funding agencies in the public, commercial, or not-for-profit sectors. </w:t>
      </w:r>
    </w:p>
    <w:p w:rsidR="00536B92" w:rsidRPr="00536B92" w:rsidRDefault="00536B92" w:rsidP="00A76678">
      <w:pPr>
        <w:spacing w:after="0"/>
        <w:ind w:left="239" w:right="0" w:firstLine="0"/>
        <w:rPr>
          <w:rFonts w:asciiTheme="majorBidi" w:hAnsiTheme="majorBidi" w:cstheme="majorBidi"/>
          <w:color w:val="auto"/>
          <w:sz w:val="20"/>
          <w:szCs w:val="20"/>
        </w:rPr>
      </w:pPr>
      <w:r w:rsidRPr="00536B92">
        <w:rPr>
          <w:rFonts w:asciiTheme="majorBidi" w:hAnsiTheme="majorBidi" w:cstheme="majorBidi"/>
          <w:b/>
          <w:bCs/>
          <w:color w:val="auto"/>
          <w:sz w:val="20"/>
          <w:szCs w:val="20"/>
        </w:rPr>
        <w:t>Funding:</w:t>
      </w:r>
      <w:r w:rsidRPr="00536B92">
        <w:rPr>
          <w:rFonts w:asciiTheme="majorBidi" w:hAnsiTheme="majorBidi" w:cstheme="majorBidi"/>
          <w:color w:val="auto"/>
          <w:sz w:val="20"/>
          <w:szCs w:val="20"/>
        </w:rPr>
        <w:t xml:space="preserve"> Not applicable. </w:t>
      </w:r>
    </w:p>
    <w:p w:rsidR="00536B92" w:rsidRPr="00536B92" w:rsidRDefault="00860896"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Data availability</w:t>
      </w:r>
      <w:r w:rsidR="00536B92" w:rsidRPr="00536B92">
        <w:rPr>
          <w:rFonts w:asciiTheme="majorBidi" w:hAnsiTheme="majorBidi" w:cstheme="majorBidi"/>
          <w:b/>
          <w:bCs/>
          <w:color w:val="auto"/>
          <w:sz w:val="20"/>
          <w:szCs w:val="20"/>
        </w:rPr>
        <w:t>:</w:t>
      </w:r>
      <w:r w:rsidRP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 xml:space="preserve">The data supporting the findings of this study are available upon reasonable request from the corresponding author. </w:t>
      </w:r>
    </w:p>
    <w:p w:rsidR="00536B92" w:rsidRPr="00536B92" w:rsidRDefault="00536B92"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Ethics approval and consent to participate:</w:t>
      </w:r>
      <w:r w:rsidRPr="00536B92">
        <w:rPr>
          <w:rFonts w:asciiTheme="majorBidi" w:hAnsiTheme="majorBidi" w:cstheme="majorBidi"/>
          <w:color w:val="auto"/>
          <w:sz w:val="20"/>
          <w:szCs w:val="20"/>
        </w:rPr>
        <w:t xml:space="preserve"> This study was approved by the Bioethics Committee of Ahvaz Jundishapur University of Medical Sciences (registration number: IR. AJUMS.REC.1400.244) and was conducted according to the principles of the Declaration of Helsinki. Informed consent was obtained from all individual participants included in the study. </w:t>
      </w:r>
    </w:p>
    <w:p w:rsidR="00536B92" w:rsidRPr="00536B92" w:rsidRDefault="00860896"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Declaration of competing interest</w:t>
      </w:r>
      <w:r w:rsidR="00536B92" w:rsidRPr="00536B92">
        <w:rPr>
          <w:rFonts w:asciiTheme="majorBidi" w:hAnsiTheme="majorBidi" w:cstheme="majorBidi"/>
          <w:b/>
          <w:bCs/>
          <w:color w:val="auto"/>
          <w:sz w:val="20"/>
          <w:szCs w:val="20"/>
        </w:rPr>
        <w:t>:</w:t>
      </w:r>
      <w:r w:rsidRPr="00536B92">
        <w:rPr>
          <w:rFonts w:asciiTheme="majorBidi" w:hAnsiTheme="majorBidi" w:cstheme="majorBidi"/>
          <w:color w:val="auto"/>
          <w:sz w:val="20"/>
          <w:szCs w:val="20"/>
        </w:rPr>
        <w:t xml:space="preserve"> </w:t>
      </w:r>
      <w:r w:rsidR="00536B92" w:rsidRPr="00536B92">
        <w:rPr>
          <w:rFonts w:asciiTheme="majorBidi" w:hAnsiTheme="majorBidi" w:cstheme="majorBidi"/>
          <w:color w:val="auto"/>
          <w:sz w:val="20"/>
          <w:szCs w:val="20"/>
        </w:rPr>
        <w:t xml:space="preserve">The authors declare that they have no known competing financial interests or personal relationships that could have appeared to influence the work reported in this paper. </w:t>
      </w:r>
    </w:p>
    <w:p w:rsidR="00536B92" w:rsidRPr="00536B92" w:rsidRDefault="00536B92" w:rsidP="00A76678">
      <w:pPr>
        <w:spacing w:after="0"/>
        <w:ind w:left="-15" w:right="0"/>
        <w:rPr>
          <w:rFonts w:asciiTheme="majorBidi" w:hAnsiTheme="majorBidi" w:cstheme="majorBidi"/>
          <w:color w:val="auto"/>
          <w:sz w:val="20"/>
          <w:szCs w:val="20"/>
        </w:rPr>
      </w:pPr>
      <w:r w:rsidRPr="00536B92">
        <w:rPr>
          <w:rFonts w:asciiTheme="majorBidi" w:hAnsiTheme="majorBidi" w:cstheme="majorBidi"/>
          <w:b/>
          <w:bCs/>
          <w:color w:val="auto"/>
          <w:sz w:val="20"/>
          <w:szCs w:val="20"/>
        </w:rPr>
        <w:t>Acknowledgments:</w:t>
      </w:r>
      <w:r w:rsidRPr="00536B92">
        <w:rPr>
          <w:rFonts w:asciiTheme="majorBidi" w:hAnsiTheme="majorBidi" w:cstheme="majorBidi"/>
          <w:color w:val="auto"/>
          <w:sz w:val="20"/>
          <w:szCs w:val="20"/>
        </w:rPr>
        <w:t xml:space="preserve"> The research team would like to thank all the participants in this study. </w:t>
      </w:r>
    </w:p>
    <w:p w:rsidR="001F47D8" w:rsidRPr="00536B92" w:rsidRDefault="00860896" w:rsidP="00A76678">
      <w:pPr>
        <w:pStyle w:val="Heading1"/>
        <w:numPr>
          <w:ilvl w:val="0"/>
          <w:numId w:val="0"/>
        </w:numPr>
        <w:spacing w:after="0"/>
        <w:ind w:left="-5"/>
        <w:rPr>
          <w:rFonts w:asciiTheme="majorBidi" w:hAnsiTheme="majorBidi" w:cstheme="majorBidi"/>
          <w:color w:val="auto"/>
          <w:sz w:val="20"/>
          <w:szCs w:val="20"/>
        </w:rPr>
      </w:pPr>
      <w:r w:rsidRPr="00536B92">
        <w:rPr>
          <w:rFonts w:asciiTheme="majorBidi" w:hAnsiTheme="majorBidi" w:cstheme="majorBidi"/>
          <w:color w:val="auto"/>
          <w:sz w:val="20"/>
          <w:szCs w:val="20"/>
        </w:rPr>
        <w:t xml:space="preserve">References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7">
        <w:r w:rsidR="00860896" w:rsidRPr="00536B92">
          <w:rPr>
            <w:rFonts w:asciiTheme="majorBidi" w:hAnsiTheme="majorBidi" w:cstheme="majorBidi"/>
            <w:color w:val="auto"/>
            <w:sz w:val="20"/>
            <w:szCs w:val="20"/>
          </w:rPr>
          <w:t>Q. Li, X. Guan, P. Wu, X. Wang, L. Zhou, Y. Tong, et al., Early transmission</w:t>
        </w:r>
      </w:hyperlink>
      <w:r w:rsidR="00860896" w:rsidRPr="00536B92">
        <w:rPr>
          <w:rFonts w:asciiTheme="majorBidi" w:hAnsiTheme="majorBidi" w:cstheme="majorBidi"/>
          <w:color w:val="auto"/>
          <w:sz w:val="20"/>
          <w:szCs w:val="20"/>
        </w:rPr>
        <w:t xml:space="preserve"> </w:t>
      </w:r>
      <w:hyperlink r:id="rId8">
        <w:r w:rsidR="00860896" w:rsidRPr="00536B92">
          <w:rPr>
            <w:rFonts w:asciiTheme="majorBidi" w:hAnsiTheme="majorBidi" w:cstheme="majorBidi"/>
            <w:color w:val="auto"/>
            <w:sz w:val="20"/>
            <w:szCs w:val="20"/>
          </w:rPr>
          <w:t>dynamics in Wuhan, China, of novel coronavirus</w:t>
        </w:r>
      </w:hyperlink>
      <w:hyperlink r:id="rId9">
        <w:r w:rsidR="00860896" w:rsidRPr="00536B92">
          <w:rPr>
            <w:rFonts w:asciiTheme="majorBidi" w:hAnsiTheme="majorBidi" w:cstheme="majorBidi"/>
            <w:color w:val="auto"/>
            <w:sz w:val="20"/>
            <w:szCs w:val="20"/>
          </w:rPr>
          <w:t>–</w:t>
        </w:r>
      </w:hyperlink>
      <w:hyperlink r:id="rId10">
        <w:r w:rsidR="00860896" w:rsidRPr="00536B92">
          <w:rPr>
            <w:rFonts w:asciiTheme="majorBidi" w:hAnsiTheme="majorBidi" w:cstheme="majorBidi"/>
            <w:color w:val="auto"/>
            <w:sz w:val="20"/>
            <w:szCs w:val="20"/>
          </w:rPr>
          <w:t xml:space="preserve">infected pneumonia, N. Engl. J. </w:t>
        </w:r>
      </w:hyperlink>
      <w:hyperlink r:id="rId11">
        <w:r w:rsidR="00860896" w:rsidRPr="00536B92">
          <w:rPr>
            <w:rFonts w:asciiTheme="majorBidi" w:hAnsiTheme="majorBidi" w:cstheme="majorBidi"/>
            <w:color w:val="auto"/>
            <w:sz w:val="20"/>
            <w:szCs w:val="20"/>
          </w:rPr>
          <w:t>Med. 382 (13) (2020) 1199</w:t>
        </w:r>
      </w:hyperlink>
      <w:hyperlink r:id="rId12">
        <w:r w:rsidR="00860896" w:rsidRPr="00536B92">
          <w:rPr>
            <w:rFonts w:asciiTheme="majorBidi" w:hAnsiTheme="majorBidi" w:cstheme="majorBidi"/>
            <w:color w:val="auto"/>
            <w:sz w:val="20"/>
            <w:szCs w:val="20"/>
          </w:rPr>
          <w:t>–</w:t>
        </w:r>
      </w:hyperlink>
      <w:hyperlink r:id="rId13">
        <w:r w:rsidR="00860896" w:rsidRPr="00536B92">
          <w:rPr>
            <w:rFonts w:asciiTheme="majorBidi" w:hAnsiTheme="majorBidi" w:cstheme="majorBidi"/>
            <w:color w:val="auto"/>
            <w:sz w:val="20"/>
            <w:szCs w:val="20"/>
          </w:rPr>
          <w:t>1207</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4">
        <w:r w:rsidR="00860896" w:rsidRPr="00536B92">
          <w:rPr>
            <w:rFonts w:asciiTheme="majorBidi" w:hAnsiTheme="majorBidi" w:cstheme="majorBidi"/>
            <w:color w:val="auto"/>
            <w:sz w:val="20"/>
            <w:szCs w:val="20"/>
          </w:rPr>
          <w:t xml:space="preserve">P. </w:t>
        </w:r>
        <w:proofErr w:type="spellStart"/>
        <w:r w:rsidR="00860896" w:rsidRPr="00536B92">
          <w:rPr>
            <w:rFonts w:asciiTheme="majorBidi" w:hAnsiTheme="majorBidi" w:cstheme="majorBidi"/>
            <w:color w:val="auto"/>
            <w:sz w:val="20"/>
            <w:szCs w:val="20"/>
          </w:rPr>
          <w:t>Guo</w:t>
        </w:r>
        <w:proofErr w:type="spellEnd"/>
        <w:r w:rsidR="00860896" w:rsidRPr="00536B92">
          <w:rPr>
            <w:rFonts w:asciiTheme="majorBidi" w:hAnsiTheme="majorBidi" w:cstheme="majorBidi"/>
            <w:color w:val="auto"/>
            <w:sz w:val="20"/>
            <w:szCs w:val="20"/>
          </w:rPr>
          <w:t xml:space="preserve">, A. Benito Ballesteros, S.P. Yeung, R. Liu, A. </w:t>
        </w:r>
        <w:proofErr w:type="spellStart"/>
        <w:r w:rsidR="00860896" w:rsidRPr="00536B92">
          <w:rPr>
            <w:rFonts w:asciiTheme="majorBidi" w:hAnsiTheme="majorBidi" w:cstheme="majorBidi"/>
            <w:color w:val="auto"/>
            <w:sz w:val="20"/>
            <w:szCs w:val="20"/>
          </w:rPr>
          <w:t>Saha</w:t>
        </w:r>
        <w:proofErr w:type="spellEnd"/>
        <w:r w:rsidR="00860896" w:rsidRPr="00536B92">
          <w:rPr>
            <w:rFonts w:asciiTheme="majorBidi" w:hAnsiTheme="majorBidi" w:cstheme="majorBidi"/>
            <w:color w:val="auto"/>
            <w:sz w:val="20"/>
            <w:szCs w:val="20"/>
          </w:rPr>
          <w:t xml:space="preserve">, L. Curtis, et al., </w:t>
        </w:r>
        <w:proofErr w:type="spellStart"/>
        <w:r w:rsidR="00860896" w:rsidRPr="00536B92">
          <w:rPr>
            <w:rFonts w:asciiTheme="majorBidi" w:hAnsiTheme="majorBidi" w:cstheme="majorBidi"/>
            <w:color w:val="auto"/>
            <w:sz w:val="20"/>
            <w:szCs w:val="20"/>
          </w:rPr>
          <w:t>Covcog</w:t>
        </w:r>
        <w:proofErr w:type="spellEnd"/>
        <w:r w:rsidR="00860896" w:rsidRPr="00536B92">
          <w:rPr>
            <w:rFonts w:asciiTheme="majorBidi" w:hAnsiTheme="majorBidi" w:cstheme="majorBidi"/>
            <w:color w:val="auto"/>
            <w:sz w:val="20"/>
            <w:szCs w:val="20"/>
          </w:rPr>
          <w:t xml:space="preserve"> 2: </w:t>
        </w:r>
      </w:hyperlink>
      <w:hyperlink r:id="rId15">
        <w:r w:rsidR="00860896" w:rsidRPr="00536B92">
          <w:rPr>
            <w:rFonts w:asciiTheme="majorBidi" w:hAnsiTheme="majorBidi" w:cstheme="majorBidi"/>
            <w:color w:val="auto"/>
            <w:sz w:val="20"/>
            <w:szCs w:val="20"/>
          </w:rPr>
          <w:t xml:space="preserve">cognitive and memory deficits in long COVID: a second publication from the </w:t>
        </w:r>
      </w:hyperlink>
      <w:hyperlink r:id="rId16">
        <w:r w:rsidR="00860896" w:rsidRPr="00536B92">
          <w:rPr>
            <w:rFonts w:asciiTheme="majorBidi" w:hAnsiTheme="majorBidi" w:cstheme="majorBidi"/>
            <w:color w:val="auto"/>
            <w:sz w:val="20"/>
            <w:szCs w:val="20"/>
          </w:rPr>
          <w:t xml:space="preserve">COVID and cognition study, Front. Aging </w:t>
        </w:r>
        <w:proofErr w:type="spellStart"/>
        <w:r w:rsidR="00860896" w:rsidRPr="00536B92">
          <w:rPr>
            <w:rFonts w:asciiTheme="majorBidi" w:hAnsiTheme="majorBidi" w:cstheme="majorBidi"/>
            <w:color w:val="auto"/>
            <w:sz w:val="20"/>
            <w:szCs w:val="20"/>
          </w:rPr>
          <w:t>Neurosci</w:t>
        </w:r>
        <w:proofErr w:type="spellEnd"/>
        <w:r w:rsidR="00860896" w:rsidRPr="00536B92">
          <w:rPr>
            <w:rFonts w:asciiTheme="majorBidi" w:hAnsiTheme="majorBidi" w:cstheme="majorBidi"/>
            <w:color w:val="auto"/>
            <w:sz w:val="20"/>
            <w:szCs w:val="20"/>
          </w:rPr>
          <w:t>. 14 (2022)</w:t>
        </w:r>
      </w:hyperlink>
      <w:hyperlink r:id="rId17">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8">
        <w:r w:rsidR="00860896" w:rsidRPr="00536B92">
          <w:rPr>
            <w:rFonts w:asciiTheme="majorBidi" w:hAnsiTheme="majorBidi" w:cstheme="majorBidi"/>
            <w:color w:val="auto"/>
            <w:sz w:val="20"/>
            <w:szCs w:val="20"/>
          </w:rPr>
          <w:t xml:space="preserve">R. Mendez, V. </w:t>
        </w:r>
        <w:proofErr w:type="spellStart"/>
        <w:r w:rsidR="00860896" w:rsidRPr="00536B92">
          <w:rPr>
            <w:rFonts w:asciiTheme="majorBidi" w:hAnsiTheme="majorBidi" w:cstheme="majorBidi"/>
            <w:color w:val="auto"/>
            <w:sz w:val="20"/>
            <w:szCs w:val="20"/>
          </w:rPr>
          <w:t>Balanza-Martínez</w:t>
        </w:r>
        <w:proofErr w:type="spellEnd"/>
        <w:r w:rsidR="00860896" w:rsidRPr="00536B92">
          <w:rPr>
            <w:rFonts w:asciiTheme="majorBidi" w:hAnsiTheme="majorBidi" w:cstheme="majorBidi"/>
            <w:color w:val="auto"/>
            <w:sz w:val="20"/>
            <w:szCs w:val="20"/>
          </w:rPr>
          <w:t xml:space="preserve">, S.C. </w:t>
        </w:r>
        <w:proofErr w:type="spellStart"/>
        <w:r w:rsidR="00860896" w:rsidRPr="00536B92">
          <w:rPr>
            <w:rFonts w:asciiTheme="majorBidi" w:hAnsiTheme="majorBidi" w:cstheme="majorBidi"/>
            <w:color w:val="auto"/>
            <w:sz w:val="20"/>
            <w:szCs w:val="20"/>
          </w:rPr>
          <w:t>Luperdi</w:t>
        </w:r>
        <w:proofErr w:type="spellEnd"/>
        <w:r w:rsidR="00860896" w:rsidRPr="00536B92">
          <w:rPr>
            <w:rFonts w:asciiTheme="majorBidi" w:hAnsiTheme="majorBidi" w:cstheme="majorBidi"/>
            <w:color w:val="auto"/>
            <w:sz w:val="20"/>
            <w:szCs w:val="20"/>
          </w:rPr>
          <w:t xml:space="preserve">, I. Estrada, A. </w:t>
        </w:r>
        <w:proofErr w:type="spellStart"/>
        <w:r w:rsidR="00860896" w:rsidRPr="00536B92">
          <w:rPr>
            <w:rFonts w:asciiTheme="majorBidi" w:hAnsiTheme="majorBidi" w:cstheme="majorBidi"/>
            <w:color w:val="auto"/>
            <w:sz w:val="20"/>
            <w:szCs w:val="20"/>
          </w:rPr>
          <w:t>Latorre</w:t>
        </w:r>
        <w:proofErr w:type="spellEnd"/>
        <w:r w:rsidR="00860896" w:rsidRPr="00536B92">
          <w:rPr>
            <w:rFonts w:asciiTheme="majorBidi" w:hAnsiTheme="majorBidi" w:cstheme="majorBidi"/>
            <w:color w:val="auto"/>
            <w:sz w:val="20"/>
            <w:szCs w:val="20"/>
          </w:rPr>
          <w:t xml:space="preserve">, P. </w:t>
        </w:r>
        <w:proofErr w:type="spellStart"/>
        <w:r w:rsidR="00860896" w:rsidRPr="00536B92">
          <w:rPr>
            <w:rFonts w:asciiTheme="majorBidi" w:hAnsiTheme="majorBidi" w:cstheme="majorBidi"/>
            <w:color w:val="auto"/>
            <w:sz w:val="20"/>
            <w:szCs w:val="20"/>
          </w:rPr>
          <w:t>Gon</w:t>
        </w:r>
        <w:proofErr w:type="spellEnd"/>
      </w:hyperlink>
      <w:hyperlink r:id="rId19">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ab/>
      </w:r>
      <w:hyperlink r:id="rId20">
        <w:proofErr w:type="spellStart"/>
        <w:r w:rsidR="00860896" w:rsidRPr="00536B92">
          <w:rPr>
            <w:rFonts w:asciiTheme="majorBidi" w:hAnsiTheme="majorBidi" w:cstheme="majorBidi"/>
            <w:color w:val="auto"/>
            <w:sz w:val="20"/>
            <w:szCs w:val="20"/>
          </w:rPr>
          <w:t>zalez</w:t>
        </w:r>
        <w:proofErr w:type="spellEnd"/>
        <w:r w:rsidR="00860896" w:rsidRPr="00536B92">
          <w:rPr>
            <w:rFonts w:asciiTheme="majorBidi" w:hAnsiTheme="majorBidi" w:cstheme="majorBidi"/>
            <w:color w:val="auto"/>
            <w:sz w:val="20"/>
            <w:szCs w:val="20"/>
          </w:rPr>
          <w:t>-</w:t>
        </w:r>
      </w:hyperlink>
      <w:hyperlink r:id="rId21">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hyperlink r:id="rId22">
        <w:r w:rsidR="00860896" w:rsidRPr="00536B92">
          <w:rPr>
            <w:rFonts w:asciiTheme="majorBidi" w:hAnsiTheme="majorBidi" w:cstheme="majorBidi"/>
            <w:color w:val="auto"/>
            <w:sz w:val="20"/>
            <w:szCs w:val="20"/>
          </w:rPr>
          <w:t>Jimenez, et al., Short-term neuropsychiatric outcomes and quality of life in COVID-</w:t>
        </w:r>
      </w:hyperlink>
      <w:hyperlink r:id="rId23">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ab/>
      </w:r>
      <w:hyperlink r:id="rId24">
        <w:r w:rsidR="00860896" w:rsidRPr="00536B92">
          <w:rPr>
            <w:rFonts w:asciiTheme="majorBidi" w:hAnsiTheme="majorBidi" w:cstheme="majorBidi"/>
            <w:color w:val="auto"/>
            <w:sz w:val="20"/>
            <w:szCs w:val="20"/>
          </w:rPr>
          <w:t xml:space="preserve"> </w:t>
        </w:r>
      </w:hyperlink>
      <w:hyperlink r:id="rId25">
        <w:r w:rsidR="00860896" w:rsidRPr="00536B92">
          <w:rPr>
            <w:rFonts w:asciiTheme="majorBidi" w:hAnsiTheme="majorBidi" w:cstheme="majorBidi"/>
            <w:color w:val="auto"/>
            <w:sz w:val="20"/>
            <w:szCs w:val="20"/>
          </w:rPr>
          <w:t>19 survivors, J. Intern. Med. 290 (3) (2021) 621</w:t>
        </w:r>
      </w:hyperlink>
      <w:hyperlink r:id="rId26">
        <w:r w:rsidR="00860896" w:rsidRPr="00536B92">
          <w:rPr>
            <w:rFonts w:asciiTheme="majorBidi" w:hAnsiTheme="majorBidi" w:cstheme="majorBidi"/>
            <w:color w:val="auto"/>
            <w:sz w:val="20"/>
            <w:szCs w:val="20"/>
          </w:rPr>
          <w:t>–</w:t>
        </w:r>
      </w:hyperlink>
      <w:hyperlink r:id="rId27">
        <w:r w:rsidR="00860896" w:rsidRPr="00536B92">
          <w:rPr>
            <w:rFonts w:asciiTheme="majorBidi" w:hAnsiTheme="majorBidi" w:cstheme="majorBidi"/>
            <w:color w:val="auto"/>
            <w:sz w:val="20"/>
            <w:szCs w:val="20"/>
          </w:rPr>
          <w:t>631</w:t>
        </w:r>
      </w:hyperlink>
      <w:hyperlink r:id="rId28">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29">
        <w:r w:rsidR="00860896" w:rsidRPr="00536B92">
          <w:rPr>
            <w:rFonts w:asciiTheme="majorBidi" w:hAnsiTheme="majorBidi" w:cstheme="majorBidi"/>
            <w:color w:val="auto"/>
            <w:sz w:val="20"/>
            <w:szCs w:val="20"/>
          </w:rPr>
          <w:t xml:space="preserve">A. Hampshire, W. </w:t>
        </w:r>
        <w:proofErr w:type="spellStart"/>
        <w:r w:rsidR="00860896" w:rsidRPr="00536B92">
          <w:rPr>
            <w:rFonts w:asciiTheme="majorBidi" w:hAnsiTheme="majorBidi" w:cstheme="majorBidi"/>
            <w:color w:val="auto"/>
            <w:sz w:val="20"/>
            <w:szCs w:val="20"/>
          </w:rPr>
          <w:t>Trender</w:t>
        </w:r>
        <w:proofErr w:type="spellEnd"/>
        <w:r w:rsidR="00860896" w:rsidRPr="00536B92">
          <w:rPr>
            <w:rFonts w:asciiTheme="majorBidi" w:hAnsiTheme="majorBidi" w:cstheme="majorBidi"/>
            <w:color w:val="auto"/>
            <w:sz w:val="20"/>
            <w:szCs w:val="20"/>
          </w:rPr>
          <w:t xml:space="preserve">, S.R. Chamberlain, A.E. Jolly, J.E. Grant, F. Patrick, et </w:t>
        </w:r>
      </w:hyperlink>
      <w:hyperlink r:id="rId30">
        <w:r w:rsidR="00860896" w:rsidRPr="00536B92">
          <w:rPr>
            <w:rFonts w:asciiTheme="majorBidi" w:hAnsiTheme="majorBidi" w:cstheme="majorBidi"/>
            <w:color w:val="auto"/>
            <w:sz w:val="20"/>
            <w:szCs w:val="20"/>
          </w:rPr>
          <w:t>al., Cognitive deficits in people who have recovered from COVID-19,</w:t>
        </w:r>
      </w:hyperlink>
      <w:r w:rsidR="00860896" w:rsidRPr="00536B92">
        <w:rPr>
          <w:rFonts w:asciiTheme="majorBidi" w:hAnsiTheme="majorBidi" w:cstheme="majorBidi"/>
          <w:color w:val="auto"/>
          <w:sz w:val="20"/>
          <w:szCs w:val="20"/>
        </w:rPr>
        <w:t xml:space="preserve"> </w:t>
      </w:r>
      <w:hyperlink r:id="rId31">
        <w:proofErr w:type="spellStart"/>
        <w:r w:rsidR="00860896" w:rsidRPr="00536B92">
          <w:rPr>
            <w:rFonts w:asciiTheme="majorBidi" w:hAnsiTheme="majorBidi" w:cstheme="majorBidi"/>
            <w:color w:val="auto"/>
            <w:sz w:val="20"/>
            <w:szCs w:val="20"/>
          </w:rPr>
          <w:t>EClinicalMedicine</w:t>
        </w:r>
        <w:proofErr w:type="spellEnd"/>
        <w:r w:rsidR="00860896" w:rsidRPr="00536B92">
          <w:rPr>
            <w:rFonts w:asciiTheme="majorBidi" w:hAnsiTheme="majorBidi" w:cstheme="majorBidi"/>
            <w:color w:val="auto"/>
            <w:sz w:val="20"/>
            <w:szCs w:val="20"/>
          </w:rPr>
          <w:t xml:space="preserve"> 39 (2021)</w:t>
        </w:r>
      </w:hyperlink>
      <w:hyperlink r:id="rId32">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33">
        <w:r w:rsidR="00860896" w:rsidRPr="00536B92">
          <w:rPr>
            <w:rFonts w:asciiTheme="majorBidi" w:hAnsiTheme="majorBidi" w:cstheme="majorBidi"/>
            <w:color w:val="auto"/>
            <w:sz w:val="20"/>
            <w:szCs w:val="20"/>
          </w:rPr>
          <w:t xml:space="preserve">A. </w:t>
        </w:r>
        <w:proofErr w:type="spellStart"/>
        <w:r w:rsidR="00860896" w:rsidRPr="00536B92">
          <w:rPr>
            <w:rFonts w:asciiTheme="majorBidi" w:hAnsiTheme="majorBidi" w:cstheme="majorBidi"/>
            <w:color w:val="auto"/>
            <w:sz w:val="20"/>
            <w:szCs w:val="20"/>
          </w:rPr>
          <w:t>Nuber-Champier</w:t>
        </w:r>
        <w:proofErr w:type="spellEnd"/>
        <w:r w:rsidR="00860896" w:rsidRPr="00536B92">
          <w:rPr>
            <w:rFonts w:asciiTheme="majorBidi" w:hAnsiTheme="majorBidi" w:cstheme="majorBidi"/>
            <w:color w:val="auto"/>
            <w:sz w:val="20"/>
            <w:szCs w:val="20"/>
          </w:rPr>
          <w:t xml:space="preserve">, P. </w:t>
        </w:r>
        <w:proofErr w:type="spellStart"/>
        <w:r w:rsidR="00860896" w:rsidRPr="00536B92">
          <w:rPr>
            <w:rFonts w:asciiTheme="majorBidi" w:hAnsiTheme="majorBidi" w:cstheme="majorBidi"/>
            <w:color w:val="auto"/>
            <w:sz w:val="20"/>
            <w:szCs w:val="20"/>
          </w:rPr>
          <w:t>Voruz</w:t>
        </w:r>
        <w:proofErr w:type="spellEnd"/>
        <w:r w:rsidR="00860896" w:rsidRPr="00536B92">
          <w:rPr>
            <w:rFonts w:asciiTheme="majorBidi" w:hAnsiTheme="majorBidi" w:cstheme="majorBidi"/>
            <w:color w:val="auto"/>
            <w:sz w:val="20"/>
            <w:szCs w:val="20"/>
          </w:rPr>
          <w:t xml:space="preserve">, I.J. de </w:t>
        </w:r>
        <w:proofErr w:type="spellStart"/>
        <w:r w:rsidR="00860896" w:rsidRPr="00536B92">
          <w:rPr>
            <w:rFonts w:asciiTheme="majorBidi" w:hAnsiTheme="majorBidi" w:cstheme="majorBidi"/>
            <w:color w:val="auto"/>
            <w:sz w:val="20"/>
            <w:szCs w:val="20"/>
          </w:rPr>
          <w:t>Alcantara</w:t>
        </w:r>
        <w:proofErr w:type="spellEnd"/>
        <w:r w:rsidR="00860896" w:rsidRPr="00536B92">
          <w:rPr>
            <w:rFonts w:asciiTheme="majorBidi" w:hAnsiTheme="majorBidi" w:cstheme="majorBidi"/>
            <w:color w:val="auto"/>
            <w:sz w:val="20"/>
            <w:szCs w:val="20"/>
          </w:rPr>
          <w:t xml:space="preserve">, G. </w:t>
        </w:r>
        <w:proofErr w:type="spellStart"/>
        <w:r w:rsidR="00860896" w:rsidRPr="00536B92">
          <w:rPr>
            <w:rFonts w:asciiTheme="majorBidi" w:hAnsiTheme="majorBidi" w:cstheme="majorBidi"/>
            <w:color w:val="auto"/>
            <w:sz w:val="20"/>
            <w:szCs w:val="20"/>
          </w:rPr>
          <w:t>Breville</w:t>
        </w:r>
        <w:proofErr w:type="spellEnd"/>
        <w:r w:rsidR="00860896" w:rsidRPr="00536B92">
          <w:rPr>
            <w:rFonts w:asciiTheme="majorBidi" w:hAnsiTheme="majorBidi" w:cstheme="majorBidi"/>
            <w:color w:val="auto"/>
            <w:sz w:val="20"/>
            <w:szCs w:val="20"/>
          </w:rPr>
          <w:t xml:space="preserve">, G. </w:t>
        </w:r>
        <w:proofErr w:type="spellStart"/>
        <w:r w:rsidR="00860896" w:rsidRPr="00536B92">
          <w:rPr>
            <w:rFonts w:asciiTheme="majorBidi" w:hAnsiTheme="majorBidi" w:cstheme="majorBidi"/>
            <w:color w:val="auto"/>
            <w:sz w:val="20"/>
            <w:szCs w:val="20"/>
          </w:rPr>
          <w:t>Allali</w:t>
        </w:r>
        <w:proofErr w:type="spellEnd"/>
        <w:r w:rsidR="00860896" w:rsidRPr="00536B92">
          <w:rPr>
            <w:rFonts w:asciiTheme="majorBidi" w:hAnsiTheme="majorBidi" w:cstheme="majorBidi"/>
            <w:color w:val="auto"/>
            <w:sz w:val="20"/>
            <w:szCs w:val="20"/>
          </w:rPr>
          <w:t xml:space="preserve">, P.H. </w:t>
        </w:r>
        <w:proofErr w:type="spellStart"/>
        <w:r w:rsidR="00860896" w:rsidRPr="00536B92">
          <w:rPr>
            <w:rFonts w:asciiTheme="majorBidi" w:hAnsiTheme="majorBidi" w:cstheme="majorBidi"/>
            <w:color w:val="auto"/>
            <w:sz w:val="20"/>
            <w:szCs w:val="20"/>
          </w:rPr>
          <w:t>Lalive</w:t>
        </w:r>
        <w:proofErr w:type="spellEnd"/>
        <w:r w:rsidR="00860896" w:rsidRPr="00536B92">
          <w:rPr>
            <w:rFonts w:asciiTheme="majorBidi" w:hAnsiTheme="majorBidi" w:cstheme="majorBidi"/>
            <w:color w:val="auto"/>
            <w:sz w:val="20"/>
            <w:szCs w:val="20"/>
          </w:rPr>
          <w:t>, et</w:t>
        </w:r>
      </w:hyperlink>
      <w:hyperlink r:id="rId34">
        <w:r w:rsidR="00860896" w:rsidRPr="00536B92">
          <w:rPr>
            <w:rFonts w:asciiTheme="majorBidi" w:hAnsiTheme="majorBidi" w:cstheme="majorBidi"/>
            <w:color w:val="auto"/>
            <w:sz w:val="20"/>
            <w:szCs w:val="20"/>
          </w:rPr>
          <w:t>ˆ</w:t>
        </w:r>
      </w:hyperlink>
      <w:hyperlink r:id="rId35">
        <w:r w:rsidR="00860896" w:rsidRPr="00536B92">
          <w:rPr>
            <w:rFonts w:asciiTheme="majorBidi" w:hAnsiTheme="majorBidi" w:cstheme="majorBidi"/>
            <w:color w:val="auto"/>
            <w:sz w:val="20"/>
            <w:szCs w:val="20"/>
          </w:rPr>
          <w:t xml:space="preserve"> </w:t>
        </w:r>
      </w:hyperlink>
      <w:hyperlink r:id="rId36">
        <w:r w:rsidR="00860896" w:rsidRPr="00536B92">
          <w:rPr>
            <w:rFonts w:asciiTheme="majorBidi" w:hAnsiTheme="majorBidi" w:cstheme="majorBidi"/>
            <w:color w:val="auto"/>
            <w:sz w:val="20"/>
            <w:szCs w:val="20"/>
          </w:rPr>
          <w:t xml:space="preserve">al., </w:t>
        </w:r>
        <w:proofErr w:type="spellStart"/>
        <w:r w:rsidR="00860896" w:rsidRPr="00536B92">
          <w:rPr>
            <w:rFonts w:asciiTheme="majorBidi" w:hAnsiTheme="majorBidi" w:cstheme="majorBidi"/>
            <w:color w:val="auto"/>
            <w:sz w:val="20"/>
            <w:szCs w:val="20"/>
          </w:rPr>
          <w:t>Monocytosis</w:t>
        </w:r>
        <w:proofErr w:type="spellEnd"/>
        <w:r w:rsidR="00860896" w:rsidRPr="00536B92">
          <w:rPr>
            <w:rFonts w:asciiTheme="majorBidi" w:hAnsiTheme="majorBidi" w:cstheme="majorBidi"/>
            <w:color w:val="auto"/>
            <w:sz w:val="20"/>
            <w:szCs w:val="20"/>
          </w:rPr>
          <w:t xml:space="preserve"> in the acute phase of SARS-CoV-2 infection predicts the presence</w:t>
        </w:r>
      </w:hyperlink>
      <w:r w:rsidR="00860896" w:rsidRPr="00536B92">
        <w:rPr>
          <w:rFonts w:asciiTheme="majorBidi" w:hAnsiTheme="majorBidi" w:cstheme="majorBidi"/>
          <w:color w:val="auto"/>
          <w:sz w:val="20"/>
          <w:szCs w:val="20"/>
        </w:rPr>
        <w:t xml:space="preserve"> </w:t>
      </w:r>
      <w:hyperlink r:id="rId37">
        <w:r w:rsidR="00860896" w:rsidRPr="00536B92">
          <w:rPr>
            <w:rFonts w:asciiTheme="majorBidi" w:hAnsiTheme="majorBidi" w:cstheme="majorBidi"/>
            <w:color w:val="auto"/>
            <w:sz w:val="20"/>
            <w:szCs w:val="20"/>
          </w:rPr>
          <w:t xml:space="preserve">of </w:t>
        </w:r>
        <w:proofErr w:type="spellStart"/>
        <w:r w:rsidR="00860896" w:rsidRPr="00536B92">
          <w:rPr>
            <w:rFonts w:asciiTheme="majorBidi" w:hAnsiTheme="majorBidi" w:cstheme="majorBidi"/>
            <w:color w:val="auto"/>
            <w:sz w:val="20"/>
            <w:szCs w:val="20"/>
          </w:rPr>
          <w:t>anosognosia</w:t>
        </w:r>
        <w:proofErr w:type="spellEnd"/>
        <w:r w:rsidR="00860896" w:rsidRPr="00536B92">
          <w:rPr>
            <w:rFonts w:asciiTheme="majorBidi" w:hAnsiTheme="majorBidi" w:cstheme="majorBidi"/>
            <w:color w:val="auto"/>
            <w:sz w:val="20"/>
            <w:szCs w:val="20"/>
          </w:rPr>
          <w:t xml:space="preserve"> for cognitive deficits in the chronic phase, Brain, </w:t>
        </w:r>
        <w:proofErr w:type="spellStart"/>
        <w:r w:rsidR="00860896" w:rsidRPr="00536B92">
          <w:rPr>
            <w:rFonts w:asciiTheme="majorBidi" w:hAnsiTheme="majorBidi" w:cstheme="majorBidi"/>
            <w:color w:val="auto"/>
            <w:sz w:val="20"/>
            <w:szCs w:val="20"/>
          </w:rPr>
          <w:t>Behav</w:t>
        </w:r>
        <w:proofErr w:type="spellEnd"/>
        <w:r w:rsidR="00860896" w:rsidRPr="00536B92">
          <w:rPr>
            <w:rFonts w:asciiTheme="majorBidi" w:hAnsiTheme="majorBidi" w:cstheme="majorBidi"/>
            <w:color w:val="auto"/>
            <w:sz w:val="20"/>
            <w:szCs w:val="20"/>
          </w:rPr>
          <w:t xml:space="preserve">. Immunity- </w:t>
        </w:r>
      </w:hyperlink>
      <w:hyperlink r:id="rId38">
        <w:r w:rsidR="00860896" w:rsidRPr="00536B92">
          <w:rPr>
            <w:rFonts w:asciiTheme="majorBidi" w:hAnsiTheme="majorBidi" w:cstheme="majorBidi"/>
            <w:color w:val="auto"/>
            <w:sz w:val="20"/>
            <w:szCs w:val="20"/>
          </w:rPr>
          <w:t>Health 26 (2022) 100511</w:t>
        </w:r>
      </w:hyperlink>
      <w:hyperlink r:id="rId39">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40">
        <w:r w:rsidR="00860896" w:rsidRPr="00536B92">
          <w:rPr>
            <w:rFonts w:asciiTheme="majorBidi" w:hAnsiTheme="majorBidi" w:cstheme="majorBidi"/>
            <w:color w:val="auto"/>
            <w:sz w:val="20"/>
            <w:szCs w:val="20"/>
          </w:rPr>
          <w:t xml:space="preserve">M.G. </w:t>
        </w:r>
        <w:proofErr w:type="spellStart"/>
        <w:r w:rsidR="00860896" w:rsidRPr="00536B92">
          <w:rPr>
            <w:rFonts w:asciiTheme="majorBidi" w:hAnsiTheme="majorBidi" w:cstheme="majorBidi"/>
            <w:color w:val="auto"/>
            <w:sz w:val="20"/>
            <w:szCs w:val="20"/>
          </w:rPr>
          <w:t>Mazza</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Palladini</w:t>
        </w:r>
        <w:proofErr w:type="spellEnd"/>
        <w:r w:rsidR="00860896" w:rsidRPr="00536B92">
          <w:rPr>
            <w:rFonts w:asciiTheme="majorBidi" w:hAnsiTheme="majorBidi" w:cstheme="majorBidi"/>
            <w:color w:val="auto"/>
            <w:sz w:val="20"/>
            <w:szCs w:val="20"/>
          </w:rPr>
          <w:t xml:space="preserve">, R. De Lorenzo, C. </w:t>
        </w:r>
        <w:proofErr w:type="spellStart"/>
        <w:r w:rsidR="00860896" w:rsidRPr="00536B92">
          <w:rPr>
            <w:rFonts w:asciiTheme="majorBidi" w:hAnsiTheme="majorBidi" w:cstheme="majorBidi"/>
            <w:color w:val="auto"/>
            <w:sz w:val="20"/>
            <w:szCs w:val="20"/>
          </w:rPr>
          <w:t>Magnaghi</w:t>
        </w:r>
        <w:proofErr w:type="spellEnd"/>
        <w:r w:rsidR="00860896" w:rsidRPr="00536B92">
          <w:rPr>
            <w:rFonts w:asciiTheme="majorBidi" w:hAnsiTheme="majorBidi" w:cstheme="majorBidi"/>
            <w:color w:val="auto"/>
            <w:sz w:val="20"/>
            <w:szCs w:val="20"/>
          </w:rPr>
          <w:t xml:space="preserve">, S. </w:t>
        </w:r>
        <w:proofErr w:type="spellStart"/>
        <w:r w:rsidR="00860896" w:rsidRPr="00536B92">
          <w:rPr>
            <w:rFonts w:asciiTheme="majorBidi" w:hAnsiTheme="majorBidi" w:cstheme="majorBidi"/>
            <w:color w:val="auto"/>
            <w:sz w:val="20"/>
            <w:szCs w:val="20"/>
          </w:rPr>
          <w:t>Poletti</w:t>
        </w:r>
        <w:proofErr w:type="spellEnd"/>
        <w:r w:rsidR="00860896" w:rsidRPr="00536B92">
          <w:rPr>
            <w:rFonts w:asciiTheme="majorBidi" w:hAnsiTheme="majorBidi" w:cstheme="majorBidi"/>
            <w:color w:val="auto"/>
            <w:sz w:val="20"/>
            <w:szCs w:val="20"/>
          </w:rPr>
          <w:t xml:space="preserve">, R. </w:t>
        </w:r>
        <w:proofErr w:type="spellStart"/>
        <w:r w:rsidR="00860896" w:rsidRPr="00536B92">
          <w:rPr>
            <w:rFonts w:asciiTheme="majorBidi" w:hAnsiTheme="majorBidi" w:cstheme="majorBidi"/>
            <w:color w:val="auto"/>
            <w:sz w:val="20"/>
            <w:szCs w:val="20"/>
          </w:rPr>
          <w:t>Furlan</w:t>
        </w:r>
        <w:proofErr w:type="spellEnd"/>
        <w:r w:rsidR="00860896" w:rsidRPr="00536B92">
          <w:rPr>
            <w:rFonts w:asciiTheme="majorBidi" w:hAnsiTheme="majorBidi" w:cstheme="majorBidi"/>
            <w:color w:val="auto"/>
            <w:sz w:val="20"/>
            <w:szCs w:val="20"/>
          </w:rPr>
          <w:t xml:space="preserve">, et al., </w:t>
        </w:r>
      </w:hyperlink>
      <w:hyperlink r:id="rId41">
        <w:r w:rsidR="00860896" w:rsidRPr="00536B92">
          <w:rPr>
            <w:rFonts w:asciiTheme="majorBidi" w:hAnsiTheme="majorBidi" w:cstheme="majorBidi"/>
            <w:color w:val="auto"/>
            <w:sz w:val="20"/>
            <w:szCs w:val="20"/>
          </w:rPr>
          <w:t xml:space="preserve">Persistent psychopathology and neurocognitive impairment in COVID-19 </w:t>
        </w:r>
      </w:hyperlink>
      <w:hyperlink r:id="rId42">
        <w:r w:rsidR="00860896" w:rsidRPr="00536B92">
          <w:rPr>
            <w:rFonts w:asciiTheme="majorBidi" w:hAnsiTheme="majorBidi" w:cstheme="majorBidi"/>
            <w:color w:val="auto"/>
            <w:sz w:val="20"/>
            <w:szCs w:val="20"/>
          </w:rPr>
          <w:t>survivors: effect of inflammatory biomarkers at three-month follow-up, Brain</w:t>
        </w:r>
      </w:hyperlink>
      <w:r w:rsidR="00860896" w:rsidRPr="00536B92">
        <w:rPr>
          <w:rFonts w:asciiTheme="majorBidi" w:hAnsiTheme="majorBidi" w:cstheme="majorBidi"/>
          <w:color w:val="auto"/>
          <w:sz w:val="20"/>
          <w:szCs w:val="20"/>
        </w:rPr>
        <w:t xml:space="preserve"> </w:t>
      </w:r>
      <w:hyperlink r:id="rId43">
        <w:proofErr w:type="spellStart"/>
        <w:r w:rsidR="00860896" w:rsidRPr="00536B92">
          <w:rPr>
            <w:rFonts w:asciiTheme="majorBidi" w:hAnsiTheme="majorBidi" w:cstheme="majorBidi"/>
            <w:color w:val="auto"/>
            <w:sz w:val="20"/>
            <w:szCs w:val="20"/>
          </w:rPr>
          <w:t>Behav</w:t>
        </w:r>
        <w:proofErr w:type="spellEnd"/>
        <w:r w:rsidR="00860896" w:rsidRPr="00536B92">
          <w:rPr>
            <w:rFonts w:asciiTheme="majorBidi" w:hAnsiTheme="majorBidi" w:cstheme="majorBidi"/>
            <w:color w:val="auto"/>
            <w:sz w:val="20"/>
            <w:szCs w:val="20"/>
          </w:rPr>
          <w:t>. Immun. 94 (2021) 138</w:t>
        </w:r>
      </w:hyperlink>
      <w:hyperlink r:id="rId44">
        <w:r w:rsidR="00860896" w:rsidRPr="00536B92">
          <w:rPr>
            <w:rFonts w:asciiTheme="majorBidi" w:hAnsiTheme="majorBidi" w:cstheme="majorBidi"/>
            <w:color w:val="auto"/>
            <w:sz w:val="20"/>
            <w:szCs w:val="20"/>
          </w:rPr>
          <w:t>–</w:t>
        </w:r>
      </w:hyperlink>
      <w:hyperlink r:id="rId45">
        <w:r w:rsidR="00860896" w:rsidRPr="00536B92">
          <w:rPr>
            <w:rFonts w:asciiTheme="majorBidi" w:hAnsiTheme="majorBidi" w:cstheme="majorBidi"/>
            <w:color w:val="auto"/>
            <w:sz w:val="20"/>
            <w:szCs w:val="20"/>
          </w:rPr>
          <w:t>147</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46">
        <w:r w:rsidR="00860896" w:rsidRPr="00536B92">
          <w:rPr>
            <w:rFonts w:asciiTheme="majorBidi" w:hAnsiTheme="majorBidi" w:cstheme="majorBidi"/>
            <w:color w:val="auto"/>
            <w:sz w:val="20"/>
            <w:szCs w:val="20"/>
          </w:rPr>
          <w:t xml:space="preserve">J.D. </w:t>
        </w:r>
        <w:proofErr w:type="spellStart"/>
        <w:r w:rsidR="00860896" w:rsidRPr="00536B92">
          <w:rPr>
            <w:rFonts w:asciiTheme="majorBidi" w:hAnsiTheme="majorBidi" w:cstheme="majorBidi"/>
            <w:color w:val="auto"/>
            <w:sz w:val="20"/>
            <w:szCs w:val="20"/>
          </w:rPr>
          <w:t>Pyne</w:t>
        </w:r>
        <w:proofErr w:type="spellEnd"/>
        <w:r w:rsidR="00860896" w:rsidRPr="00536B92">
          <w:rPr>
            <w:rFonts w:asciiTheme="majorBidi" w:hAnsiTheme="majorBidi" w:cstheme="majorBidi"/>
            <w:color w:val="auto"/>
            <w:sz w:val="20"/>
            <w:szCs w:val="20"/>
          </w:rPr>
          <w:t xml:space="preserve">, A.M. Brickman, The impact of the COVID-19 pandemic on dementia </w:t>
        </w:r>
      </w:hyperlink>
      <w:hyperlink r:id="rId47">
        <w:r w:rsidR="00860896" w:rsidRPr="00536B92">
          <w:rPr>
            <w:rFonts w:asciiTheme="majorBidi" w:hAnsiTheme="majorBidi" w:cstheme="majorBidi"/>
            <w:color w:val="auto"/>
            <w:sz w:val="20"/>
            <w:szCs w:val="20"/>
          </w:rPr>
          <w:t xml:space="preserve">risk: potential pathways to cognitive decline, </w:t>
        </w:r>
        <w:proofErr w:type="spellStart"/>
        <w:r w:rsidR="00860896" w:rsidRPr="00536B92">
          <w:rPr>
            <w:rFonts w:asciiTheme="majorBidi" w:hAnsiTheme="majorBidi" w:cstheme="majorBidi"/>
            <w:color w:val="auto"/>
            <w:sz w:val="20"/>
            <w:szCs w:val="20"/>
          </w:rPr>
          <w:t>Neurodegener</w:t>
        </w:r>
        <w:proofErr w:type="spellEnd"/>
        <w:r w:rsidR="00860896" w:rsidRPr="00536B92">
          <w:rPr>
            <w:rFonts w:asciiTheme="majorBidi" w:hAnsiTheme="majorBidi" w:cstheme="majorBidi"/>
            <w:color w:val="auto"/>
            <w:sz w:val="20"/>
            <w:szCs w:val="20"/>
          </w:rPr>
          <w:t>. Dis. 21 (1</w:t>
        </w:r>
      </w:hyperlink>
      <w:hyperlink r:id="rId48">
        <w:r w:rsidR="00860896" w:rsidRPr="00536B92">
          <w:rPr>
            <w:rFonts w:asciiTheme="majorBidi" w:hAnsiTheme="majorBidi" w:cstheme="majorBidi"/>
            <w:color w:val="auto"/>
            <w:sz w:val="20"/>
            <w:szCs w:val="20"/>
          </w:rPr>
          <w:t>–</w:t>
        </w:r>
      </w:hyperlink>
      <w:hyperlink r:id="rId49">
        <w:r w:rsidR="00860896" w:rsidRPr="00536B92">
          <w:rPr>
            <w:rFonts w:asciiTheme="majorBidi" w:hAnsiTheme="majorBidi" w:cstheme="majorBidi"/>
            <w:color w:val="auto"/>
            <w:sz w:val="20"/>
            <w:szCs w:val="20"/>
          </w:rPr>
          <w:t>2) (2021)</w:t>
        </w:r>
      </w:hyperlink>
      <w:r w:rsidR="00860896" w:rsidRPr="00536B92">
        <w:rPr>
          <w:rFonts w:asciiTheme="majorBidi" w:hAnsiTheme="majorBidi" w:cstheme="majorBidi"/>
          <w:color w:val="auto"/>
          <w:sz w:val="20"/>
          <w:szCs w:val="20"/>
        </w:rPr>
        <w:t xml:space="preserve"> </w:t>
      </w:r>
      <w:hyperlink r:id="rId50">
        <w:r w:rsidR="00860896" w:rsidRPr="00536B92">
          <w:rPr>
            <w:rFonts w:asciiTheme="majorBidi" w:hAnsiTheme="majorBidi" w:cstheme="majorBidi"/>
            <w:color w:val="auto"/>
            <w:sz w:val="20"/>
            <w:szCs w:val="20"/>
          </w:rPr>
          <w:t>1</w:t>
        </w:r>
      </w:hyperlink>
      <w:hyperlink r:id="rId51">
        <w:r w:rsidR="00860896" w:rsidRPr="00536B92">
          <w:rPr>
            <w:rFonts w:asciiTheme="majorBidi" w:hAnsiTheme="majorBidi" w:cstheme="majorBidi"/>
            <w:color w:val="auto"/>
            <w:sz w:val="20"/>
            <w:szCs w:val="20"/>
          </w:rPr>
          <w:t>–</w:t>
        </w:r>
      </w:hyperlink>
      <w:hyperlink r:id="rId52">
        <w:r w:rsidR="00860896" w:rsidRPr="00536B92">
          <w:rPr>
            <w:rFonts w:asciiTheme="majorBidi" w:hAnsiTheme="majorBidi" w:cstheme="majorBidi"/>
            <w:color w:val="auto"/>
            <w:sz w:val="20"/>
            <w:szCs w:val="20"/>
          </w:rPr>
          <w:t>23</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53">
        <w:r w:rsidR="00860896" w:rsidRPr="00536B92">
          <w:rPr>
            <w:rFonts w:asciiTheme="majorBidi" w:hAnsiTheme="majorBidi" w:cstheme="majorBidi"/>
            <w:color w:val="auto"/>
            <w:sz w:val="20"/>
            <w:szCs w:val="20"/>
          </w:rPr>
          <w:t xml:space="preserve">R.S. Wong, Inflammation in COVID-19: from pathogenesis to treatment, Int. J. </w:t>
        </w:r>
        <w:proofErr w:type="spellStart"/>
        <w:r w:rsidR="00860896" w:rsidRPr="00536B92">
          <w:rPr>
            <w:rFonts w:asciiTheme="majorBidi" w:hAnsiTheme="majorBidi" w:cstheme="majorBidi"/>
            <w:color w:val="auto"/>
            <w:sz w:val="20"/>
            <w:szCs w:val="20"/>
          </w:rPr>
          <w:t>Clin</w:t>
        </w:r>
        <w:proofErr w:type="spellEnd"/>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hyperlink r:id="rId54">
        <w:r w:rsidR="00860896" w:rsidRPr="00536B92">
          <w:rPr>
            <w:rFonts w:asciiTheme="majorBidi" w:hAnsiTheme="majorBidi" w:cstheme="majorBidi"/>
            <w:color w:val="auto"/>
            <w:sz w:val="20"/>
            <w:szCs w:val="20"/>
          </w:rPr>
          <w:t xml:space="preserve">Exp. </w:t>
        </w:r>
        <w:proofErr w:type="spellStart"/>
        <w:r w:rsidR="00860896" w:rsidRPr="00536B92">
          <w:rPr>
            <w:rFonts w:asciiTheme="majorBidi" w:hAnsiTheme="majorBidi" w:cstheme="majorBidi"/>
            <w:color w:val="auto"/>
            <w:sz w:val="20"/>
            <w:szCs w:val="20"/>
          </w:rPr>
          <w:t>Pathol</w:t>
        </w:r>
        <w:proofErr w:type="spellEnd"/>
        <w:r w:rsidR="00860896" w:rsidRPr="00536B92">
          <w:rPr>
            <w:rFonts w:asciiTheme="majorBidi" w:hAnsiTheme="majorBidi" w:cstheme="majorBidi"/>
            <w:color w:val="auto"/>
            <w:sz w:val="20"/>
            <w:szCs w:val="20"/>
          </w:rPr>
          <w:t>. 14 (7) (2021) 831</w:t>
        </w:r>
      </w:hyperlink>
      <w:hyperlink r:id="rId55">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56">
        <w:r w:rsidR="00860896" w:rsidRPr="00536B92">
          <w:rPr>
            <w:rFonts w:asciiTheme="majorBidi" w:hAnsiTheme="majorBidi" w:cstheme="majorBidi"/>
            <w:color w:val="auto"/>
            <w:sz w:val="20"/>
            <w:szCs w:val="20"/>
          </w:rPr>
          <w:t xml:space="preserve">M.A. </w:t>
        </w:r>
        <w:proofErr w:type="spellStart"/>
        <w:r w:rsidR="00860896" w:rsidRPr="00536B92">
          <w:rPr>
            <w:rFonts w:asciiTheme="majorBidi" w:hAnsiTheme="majorBidi" w:cstheme="majorBidi"/>
            <w:color w:val="auto"/>
            <w:sz w:val="20"/>
            <w:szCs w:val="20"/>
          </w:rPr>
          <w:t>Beydoun</w:t>
        </w:r>
        <w:proofErr w:type="spellEnd"/>
        <w:r w:rsidR="00860896" w:rsidRPr="00536B92">
          <w:rPr>
            <w:rFonts w:asciiTheme="majorBidi" w:hAnsiTheme="majorBidi" w:cstheme="majorBidi"/>
            <w:color w:val="auto"/>
            <w:sz w:val="20"/>
            <w:szCs w:val="20"/>
          </w:rPr>
          <w:t xml:space="preserve">, G.A. Dore, J.-A. </w:t>
        </w:r>
        <w:proofErr w:type="spellStart"/>
        <w:r w:rsidR="00860896" w:rsidRPr="00536B92">
          <w:rPr>
            <w:rFonts w:asciiTheme="majorBidi" w:hAnsiTheme="majorBidi" w:cstheme="majorBidi"/>
            <w:color w:val="auto"/>
            <w:sz w:val="20"/>
            <w:szCs w:val="20"/>
          </w:rPr>
          <w:t>Canas</w:t>
        </w:r>
        <w:proofErr w:type="spellEnd"/>
        <w:r w:rsidR="00860896" w:rsidRPr="00536B92">
          <w:rPr>
            <w:rFonts w:asciiTheme="majorBidi" w:hAnsiTheme="majorBidi" w:cstheme="majorBidi"/>
            <w:color w:val="auto"/>
            <w:sz w:val="20"/>
            <w:szCs w:val="20"/>
          </w:rPr>
          <w:t xml:space="preserve">, H. Liang, H.A. </w:t>
        </w:r>
        <w:proofErr w:type="spellStart"/>
        <w:r w:rsidR="00860896" w:rsidRPr="00536B92">
          <w:rPr>
            <w:rFonts w:asciiTheme="majorBidi" w:hAnsiTheme="majorBidi" w:cstheme="majorBidi"/>
            <w:color w:val="auto"/>
            <w:sz w:val="20"/>
            <w:szCs w:val="20"/>
          </w:rPr>
          <w:t>Beydoun</w:t>
        </w:r>
        <w:proofErr w:type="spellEnd"/>
        <w:r w:rsidR="00860896" w:rsidRPr="00536B92">
          <w:rPr>
            <w:rFonts w:asciiTheme="majorBidi" w:hAnsiTheme="majorBidi" w:cstheme="majorBidi"/>
            <w:color w:val="auto"/>
            <w:sz w:val="20"/>
            <w:szCs w:val="20"/>
          </w:rPr>
          <w:t xml:space="preserve">, M.K. Evans, et al., </w:t>
        </w:r>
      </w:hyperlink>
      <w:hyperlink r:id="rId57">
        <w:r w:rsidR="00860896" w:rsidRPr="00536B92">
          <w:rPr>
            <w:rFonts w:asciiTheme="majorBidi" w:hAnsiTheme="majorBidi" w:cstheme="majorBidi"/>
            <w:color w:val="auto"/>
            <w:sz w:val="20"/>
            <w:szCs w:val="20"/>
          </w:rPr>
          <w:t>Systemic inflammation is associated with longitudinal changes in cognitive</w:t>
        </w:r>
      </w:hyperlink>
      <w:r w:rsidR="00860896" w:rsidRPr="00536B92">
        <w:rPr>
          <w:rFonts w:asciiTheme="majorBidi" w:hAnsiTheme="majorBidi" w:cstheme="majorBidi"/>
          <w:color w:val="auto"/>
          <w:sz w:val="20"/>
          <w:szCs w:val="20"/>
        </w:rPr>
        <w:t xml:space="preserve"> </w:t>
      </w:r>
      <w:hyperlink r:id="rId58">
        <w:r w:rsidR="00860896" w:rsidRPr="00536B92">
          <w:rPr>
            <w:rFonts w:asciiTheme="majorBidi" w:hAnsiTheme="majorBidi" w:cstheme="majorBidi"/>
            <w:color w:val="auto"/>
            <w:sz w:val="20"/>
            <w:szCs w:val="20"/>
          </w:rPr>
          <w:t xml:space="preserve">performance among urban adults, Front. Aging </w:t>
        </w:r>
        <w:proofErr w:type="spellStart"/>
        <w:r w:rsidR="00860896" w:rsidRPr="00536B92">
          <w:rPr>
            <w:rFonts w:asciiTheme="majorBidi" w:hAnsiTheme="majorBidi" w:cstheme="majorBidi"/>
            <w:color w:val="auto"/>
            <w:sz w:val="20"/>
            <w:szCs w:val="20"/>
          </w:rPr>
          <w:t>Neurosci</w:t>
        </w:r>
        <w:proofErr w:type="spellEnd"/>
        <w:r w:rsidR="00860896" w:rsidRPr="00536B92">
          <w:rPr>
            <w:rFonts w:asciiTheme="majorBidi" w:hAnsiTheme="majorBidi" w:cstheme="majorBidi"/>
            <w:color w:val="auto"/>
            <w:sz w:val="20"/>
            <w:szCs w:val="20"/>
          </w:rPr>
          <w:t>. 10 (2018) 313</w:t>
        </w:r>
      </w:hyperlink>
      <w:hyperlink r:id="rId59">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60">
        <w:r w:rsidR="00860896" w:rsidRPr="00536B92">
          <w:rPr>
            <w:rFonts w:asciiTheme="majorBidi" w:hAnsiTheme="majorBidi" w:cstheme="majorBidi"/>
            <w:color w:val="auto"/>
            <w:sz w:val="20"/>
            <w:szCs w:val="20"/>
          </w:rPr>
          <w:t xml:space="preserve">T.J. </w:t>
        </w:r>
        <w:proofErr w:type="spellStart"/>
        <w:r w:rsidR="00860896" w:rsidRPr="00536B92">
          <w:rPr>
            <w:rFonts w:asciiTheme="majorBidi" w:hAnsiTheme="majorBidi" w:cstheme="majorBidi"/>
            <w:color w:val="auto"/>
            <w:sz w:val="20"/>
            <w:szCs w:val="20"/>
          </w:rPr>
          <w:t>Iwashyna</w:t>
        </w:r>
        <w:proofErr w:type="spellEnd"/>
        <w:r w:rsidR="00860896" w:rsidRPr="00536B92">
          <w:rPr>
            <w:rFonts w:asciiTheme="majorBidi" w:hAnsiTheme="majorBidi" w:cstheme="majorBidi"/>
            <w:color w:val="auto"/>
            <w:sz w:val="20"/>
            <w:szCs w:val="20"/>
          </w:rPr>
          <w:t xml:space="preserve">, E.W. Ely, D.M. Smith, K.M. </w:t>
        </w:r>
        <w:proofErr w:type="spellStart"/>
        <w:r w:rsidR="00860896" w:rsidRPr="00536B92">
          <w:rPr>
            <w:rFonts w:asciiTheme="majorBidi" w:hAnsiTheme="majorBidi" w:cstheme="majorBidi"/>
            <w:color w:val="auto"/>
            <w:sz w:val="20"/>
            <w:szCs w:val="20"/>
          </w:rPr>
          <w:t>Langa</w:t>
        </w:r>
        <w:proofErr w:type="spellEnd"/>
        <w:r w:rsidR="00860896" w:rsidRPr="00536B92">
          <w:rPr>
            <w:rFonts w:asciiTheme="majorBidi" w:hAnsiTheme="majorBidi" w:cstheme="majorBidi"/>
            <w:color w:val="auto"/>
            <w:sz w:val="20"/>
            <w:szCs w:val="20"/>
          </w:rPr>
          <w:t xml:space="preserve">, Long-term cognitive impairment </w:t>
        </w:r>
      </w:hyperlink>
      <w:hyperlink r:id="rId61">
        <w:r w:rsidR="00860896" w:rsidRPr="00536B92">
          <w:rPr>
            <w:rFonts w:asciiTheme="majorBidi" w:hAnsiTheme="majorBidi" w:cstheme="majorBidi"/>
            <w:color w:val="auto"/>
            <w:sz w:val="20"/>
            <w:szCs w:val="20"/>
          </w:rPr>
          <w:t xml:space="preserve">and functional disability among survivors of severe sepsis, JAMA 304 (16) (2010) </w:t>
        </w:r>
      </w:hyperlink>
      <w:hyperlink r:id="rId62">
        <w:r w:rsidR="00860896" w:rsidRPr="00536B92">
          <w:rPr>
            <w:rFonts w:asciiTheme="majorBidi" w:hAnsiTheme="majorBidi" w:cstheme="majorBidi"/>
            <w:color w:val="auto"/>
            <w:sz w:val="20"/>
            <w:szCs w:val="20"/>
          </w:rPr>
          <w:t>1787</w:t>
        </w:r>
      </w:hyperlink>
      <w:hyperlink r:id="rId63">
        <w:r w:rsidR="00860896" w:rsidRPr="00536B92">
          <w:rPr>
            <w:rFonts w:asciiTheme="majorBidi" w:hAnsiTheme="majorBidi" w:cstheme="majorBidi"/>
            <w:color w:val="auto"/>
            <w:sz w:val="20"/>
            <w:szCs w:val="20"/>
          </w:rPr>
          <w:t>–</w:t>
        </w:r>
      </w:hyperlink>
      <w:hyperlink r:id="rId64">
        <w:r w:rsidR="00860896" w:rsidRPr="00536B92">
          <w:rPr>
            <w:rFonts w:asciiTheme="majorBidi" w:hAnsiTheme="majorBidi" w:cstheme="majorBidi"/>
            <w:color w:val="auto"/>
            <w:sz w:val="20"/>
            <w:szCs w:val="20"/>
          </w:rPr>
          <w:t>1794</w:t>
        </w:r>
      </w:hyperlink>
      <w:hyperlink r:id="rId65">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66">
        <w:r w:rsidR="00860896" w:rsidRPr="00536B92">
          <w:rPr>
            <w:rFonts w:asciiTheme="majorBidi" w:hAnsiTheme="majorBidi" w:cstheme="majorBidi"/>
            <w:color w:val="auto"/>
            <w:sz w:val="20"/>
            <w:szCs w:val="20"/>
          </w:rPr>
          <w:t xml:space="preserve">L.-T. Kao, J.-J. </w:t>
        </w:r>
        <w:proofErr w:type="spellStart"/>
        <w:r w:rsidR="00860896" w:rsidRPr="00536B92">
          <w:rPr>
            <w:rFonts w:asciiTheme="majorBidi" w:hAnsiTheme="majorBidi" w:cstheme="majorBidi"/>
            <w:color w:val="auto"/>
            <w:sz w:val="20"/>
            <w:szCs w:val="20"/>
          </w:rPr>
          <w:t>Sheu</w:t>
        </w:r>
        <w:proofErr w:type="spellEnd"/>
        <w:r w:rsidR="00860896" w:rsidRPr="00536B92">
          <w:rPr>
            <w:rFonts w:asciiTheme="majorBidi" w:hAnsiTheme="majorBidi" w:cstheme="majorBidi"/>
            <w:color w:val="auto"/>
            <w:sz w:val="20"/>
            <w:szCs w:val="20"/>
          </w:rPr>
          <w:t xml:space="preserve">, H.-C. Lin, M.-C. Tsai, S.-D. Chung, Association between sepsis </w:t>
        </w:r>
      </w:hyperlink>
      <w:hyperlink r:id="rId67">
        <w:r w:rsidR="00860896" w:rsidRPr="00536B92">
          <w:rPr>
            <w:rFonts w:asciiTheme="majorBidi" w:hAnsiTheme="majorBidi" w:cstheme="majorBidi"/>
            <w:color w:val="auto"/>
            <w:sz w:val="20"/>
            <w:szCs w:val="20"/>
          </w:rPr>
          <w:t xml:space="preserve">and dementia, J. </w:t>
        </w:r>
        <w:proofErr w:type="spellStart"/>
        <w:r w:rsidR="00860896" w:rsidRPr="00536B92">
          <w:rPr>
            <w:rFonts w:asciiTheme="majorBidi" w:hAnsiTheme="majorBidi" w:cstheme="majorBidi"/>
            <w:color w:val="auto"/>
            <w:sz w:val="20"/>
            <w:szCs w:val="20"/>
          </w:rPr>
          <w:t>Clin</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Neurosci</w:t>
        </w:r>
        <w:proofErr w:type="spellEnd"/>
        <w:r w:rsidR="00860896" w:rsidRPr="00536B92">
          <w:rPr>
            <w:rFonts w:asciiTheme="majorBidi" w:hAnsiTheme="majorBidi" w:cstheme="majorBidi"/>
            <w:color w:val="auto"/>
            <w:sz w:val="20"/>
            <w:szCs w:val="20"/>
          </w:rPr>
          <w:t>. 22 (9) (2015) 1430</w:t>
        </w:r>
      </w:hyperlink>
      <w:hyperlink r:id="rId68">
        <w:r w:rsidR="00860896" w:rsidRPr="00536B92">
          <w:rPr>
            <w:rFonts w:asciiTheme="majorBidi" w:hAnsiTheme="majorBidi" w:cstheme="majorBidi"/>
            <w:color w:val="auto"/>
            <w:sz w:val="20"/>
            <w:szCs w:val="20"/>
          </w:rPr>
          <w:t>–</w:t>
        </w:r>
      </w:hyperlink>
      <w:hyperlink r:id="rId69">
        <w:r w:rsidR="00860896" w:rsidRPr="00536B92">
          <w:rPr>
            <w:rFonts w:asciiTheme="majorBidi" w:hAnsiTheme="majorBidi" w:cstheme="majorBidi"/>
            <w:color w:val="auto"/>
            <w:sz w:val="20"/>
            <w:szCs w:val="20"/>
          </w:rPr>
          <w:t>1433</w:t>
        </w:r>
      </w:hyperlink>
      <w:hyperlink r:id="rId70">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71">
        <w:r w:rsidR="00860896" w:rsidRPr="00536B92">
          <w:rPr>
            <w:rFonts w:asciiTheme="majorBidi" w:hAnsiTheme="majorBidi" w:cstheme="majorBidi"/>
            <w:color w:val="auto"/>
            <w:sz w:val="20"/>
            <w:szCs w:val="20"/>
          </w:rPr>
          <w:t xml:space="preserve">E. </w:t>
        </w:r>
        <w:proofErr w:type="spellStart"/>
        <w:r w:rsidR="00860896" w:rsidRPr="00536B92">
          <w:rPr>
            <w:rFonts w:asciiTheme="majorBidi" w:hAnsiTheme="majorBidi" w:cstheme="majorBidi"/>
            <w:color w:val="auto"/>
            <w:sz w:val="20"/>
            <w:szCs w:val="20"/>
          </w:rPr>
          <w:t>D</w:t>
        </w:r>
      </w:hyperlink>
      <w:hyperlink r:id="rId72">
        <w:r w:rsidR="00860896" w:rsidRPr="00536B92">
          <w:rPr>
            <w:rFonts w:asciiTheme="majorBidi" w:eastAsia="Times New Roman" w:hAnsiTheme="majorBidi" w:cstheme="majorBidi"/>
            <w:color w:val="auto"/>
            <w:sz w:val="20"/>
            <w:szCs w:val="20"/>
          </w:rPr>
          <w:t>ą</w:t>
        </w:r>
      </w:hyperlink>
      <w:hyperlink r:id="rId73">
        <w:r w:rsidR="00860896" w:rsidRPr="00536B92">
          <w:rPr>
            <w:rFonts w:asciiTheme="majorBidi" w:hAnsiTheme="majorBidi" w:cstheme="majorBidi"/>
            <w:color w:val="auto"/>
            <w:sz w:val="20"/>
            <w:szCs w:val="20"/>
          </w:rPr>
          <w:t>browska</w:t>
        </w:r>
        <w:proofErr w:type="spellEnd"/>
        <w:r w:rsidR="00860896" w:rsidRPr="00536B92">
          <w:rPr>
            <w:rFonts w:asciiTheme="majorBidi" w:hAnsiTheme="majorBidi" w:cstheme="majorBidi"/>
            <w:color w:val="auto"/>
            <w:sz w:val="20"/>
            <w:szCs w:val="20"/>
          </w:rPr>
          <w:t xml:space="preserve">, B. </w:t>
        </w:r>
        <w:proofErr w:type="spellStart"/>
        <w:r w:rsidR="00860896" w:rsidRPr="00536B92">
          <w:rPr>
            <w:rFonts w:asciiTheme="majorBidi" w:hAnsiTheme="majorBidi" w:cstheme="majorBidi"/>
            <w:color w:val="auto"/>
            <w:sz w:val="20"/>
            <w:szCs w:val="20"/>
          </w:rPr>
          <w:t>Galinska-Skok</w:t>
        </w:r>
        <w:proofErr w:type="spellEnd"/>
        <w:r w:rsidR="00860896" w:rsidRPr="00536B92">
          <w:rPr>
            <w:rFonts w:asciiTheme="majorBidi" w:hAnsiTheme="majorBidi" w:cstheme="majorBidi"/>
            <w:color w:val="auto"/>
            <w:sz w:val="20"/>
            <w:szCs w:val="20"/>
          </w:rPr>
          <w:t xml:space="preserve">, N. </w:t>
        </w:r>
        <w:proofErr w:type="spellStart"/>
        <w:r w:rsidR="00860896" w:rsidRPr="00536B92">
          <w:rPr>
            <w:rFonts w:asciiTheme="majorBidi" w:hAnsiTheme="majorBidi" w:cstheme="majorBidi"/>
            <w:color w:val="auto"/>
            <w:sz w:val="20"/>
            <w:szCs w:val="20"/>
          </w:rPr>
          <w:t>Waszkiewicz</w:t>
        </w:r>
        <w:proofErr w:type="spellEnd"/>
        <w:r w:rsidR="00860896" w:rsidRPr="00536B92">
          <w:rPr>
            <w:rFonts w:asciiTheme="majorBidi" w:hAnsiTheme="majorBidi" w:cstheme="majorBidi"/>
            <w:color w:val="auto"/>
            <w:sz w:val="20"/>
            <w:szCs w:val="20"/>
          </w:rPr>
          <w:t>, Depressive and neurocognitive</w:t>
        </w:r>
      </w:hyperlink>
      <w:hyperlink r:id="rId74">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ab/>
        <w:t xml:space="preserve"> </w:t>
      </w:r>
      <w:hyperlink r:id="rId75">
        <w:r w:rsidR="00860896" w:rsidRPr="00536B92">
          <w:rPr>
            <w:rFonts w:asciiTheme="majorBidi" w:hAnsiTheme="majorBidi" w:cstheme="majorBidi"/>
            <w:color w:val="auto"/>
            <w:sz w:val="20"/>
            <w:szCs w:val="20"/>
          </w:rPr>
          <w:t>disorders in the context of the inflammatory background of COVID-19, Life 11 (10)</w:t>
        </w:r>
      </w:hyperlink>
      <w:r w:rsidR="00860896" w:rsidRPr="00536B92">
        <w:rPr>
          <w:rFonts w:asciiTheme="majorBidi" w:hAnsiTheme="majorBidi" w:cstheme="majorBidi"/>
          <w:color w:val="auto"/>
          <w:sz w:val="20"/>
          <w:szCs w:val="20"/>
        </w:rPr>
        <w:t xml:space="preserve"> </w:t>
      </w:r>
      <w:hyperlink r:id="rId76">
        <w:r w:rsidR="00860896" w:rsidRPr="00536B92">
          <w:rPr>
            <w:rFonts w:asciiTheme="majorBidi" w:hAnsiTheme="majorBidi" w:cstheme="majorBidi"/>
            <w:color w:val="auto"/>
            <w:sz w:val="20"/>
            <w:szCs w:val="20"/>
          </w:rPr>
          <w:t>(2021) 1056</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77">
        <w:r w:rsidR="00860896" w:rsidRPr="00536B92">
          <w:rPr>
            <w:rFonts w:asciiTheme="majorBidi" w:hAnsiTheme="majorBidi" w:cstheme="majorBidi"/>
            <w:color w:val="auto"/>
            <w:sz w:val="20"/>
            <w:szCs w:val="20"/>
          </w:rPr>
          <w:t xml:space="preserve">F. Zeng, Y. Huang, Y. </w:t>
        </w:r>
        <w:proofErr w:type="spellStart"/>
        <w:r w:rsidR="00860896" w:rsidRPr="00536B92">
          <w:rPr>
            <w:rFonts w:asciiTheme="majorBidi" w:hAnsiTheme="majorBidi" w:cstheme="majorBidi"/>
            <w:color w:val="auto"/>
            <w:sz w:val="20"/>
            <w:szCs w:val="20"/>
          </w:rPr>
          <w:t>Guo</w:t>
        </w:r>
        <w:proofErr w:type="spellEnd"/>
        <w:r w:rsidR="00860896" w:rsidRPr="00536B92">
          <w:rPr>
            <w:rFonts w:asciiTheme="majorBidi" w:hAnsiTheme="majorBidi" w:cstheme="majorBidi"/>
            <w:color w:val="auto"/>
            <w:sz w:val="20"/>
            <w:szCs w:val="20"/>
          </w:rPr>
          <w:t xml:space="preserve">, M. Yin, X. Chen, L. Xiao, et al., Association of </w:t>
        </w:r>
      </w:hyperlink>
      <w:hyperlink r:id="rId78">
        <w:r w:rsidR="00860896" w:rsidRPr="00536B92">
          <w:rPr>
            <w:rFonts w:asciiTheme="majorBidi" w:hAnsiTheme="majorBidi" w:cstheme="majorBidi"/>
            <w:color w:val="auto"/>
            <w:sz w:val="20"/>
            <w:szCs w:val="20"/>
          </w:rPr>
          <w:t xml:space="preserve">inflammatory markers with the severity of COVID-19: a meta-analysis, Int. J. </w:t>
        </w:r>
      </w:hyperlink>
    </w:p>
    <w:p w:rsidR="001F47D8" w:rsidRPr="00536B92" w:rsidRDefault="00536B92">
      <w:pPr>
        <w:spacing w:line="252" w:lineRule="auto"/>
        <w:ind w:left="331" w:right="26" w:firstLine="0"/>
        <w:rPr>
          <w:rFonts w:asciiTheme="majorBidi" w:hAnsiTheme="majorBidi" w:cstheme="majorBidi"/>
          <w:color w:val="auto"/>
          <w:sz w:val="20"/>
          <w:szCs w:val="20"/>
        </w:rPr>
      </w:pPr>
      <w:hyperlink r:id="rId79">
        <w:r w:rsidR="00860896" w:rsidRPr="00536B92">
          <w:rPr>
            <w:rFonts w:asciiTheme="majorBidi" w:hAnsiTheme="majorBidi" w:cstheme="majorBidi"/>
            <w:color w:val="auto"/>
            <w:sz w:val="20"/>
            <w:szCs w:val="20"/>
          </w:rPr>
          <w:t>Infect. Dis. 96 (2020) 467</w:t>
        </w:r>
      </w:hyperlink>
      <w:hyperlink r:id="rId80">
        <w:r w:rsidR="00860896" w:rsidRPr="00536B92">
          <w:rPr>
            <w:rFonts w:asciiTheme="majorBidi" w:hAnsiTheme="majorBidi" w:cstheme="majorBidi"/>
            <w:color w:val="auto"/>
            <w:sz w:val="20"/>
            <w:szCs w:val="20"/>
          </w:rPr>
          <w:t>–</w:t>
        </w:r>
      </w:hyperlink>
      <w:hyperlink r:id="rId81">
        <w:r w:rsidR="00860896" w:rsidRPr="00536B92">
          <w:rPr>
            <w:rFonts w:asciiTheme="majorBidi" w:hAnsiTheme="majorBidi" w:cstheme="majorBidi"/>
            <w:color w:val="auto"/>
            <w:sz w:val="20"/>
            <w:szCs w:val="20"/>
          </w:rPr>
          <w:t>474</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82">
        <w:r w:rsidR="00860896" w:rsidRPr="00536B92">
          <w:rPr>
            <w:rFonts w:asciiTheme="majorBidi" w:hAnsiTheme="majorBidi" w:cstheme="majorBidi"/>
            <w:color w:val="auto"/>
            <w:sz w:val="20"/>
            <w:szCs w:val="20"/>
          </w:rPr>
          <w:t xml:space="preserve">H. </w:t>
        </w:r>
        <w:proofErr w:type="spellStart"/>
        <w:r w:rsidR="00860896" w:rsidRPr="00536B92">
          <w:rPr>
            <w:rFonts w:asciiTheme="majorBidi" w:hAnsiTheme="majorBidi" w:cstheme="majorBidi"/>
            <w:color w:val="auto"/>
            <w:sz w:val="20"/>
            <w:szCs w:val="20"/>
          </w:rPr>
          <w:t>Hsuchou</w:t>
        </w:r>
        <w:proofErr w:type="spellEnd"/>
        <w:r w:rsidR="00860896" w:rsidRPr="00536B92">
          <w:rPr>
            <w:rFonts w:asciiTheme="majorBidi" w:hAnsiTheme="majorBidi" w:cstheme="majorBidi"/>
            <w:color w:val="auto"/>
            <w:sz w:val="20"/>
            <w:szCs w:val="20"/>
          </w:rPr>
          <w:t xml:space="preserve">, A.J. </w:t>
        </w:r>
        <w:proofErr w:type="spellStart"/>
        <w:r w:rsidR="00860896" w:rsidRPr="00536B92">
          <w:rPr>
            <w:rFonts w:asciiTheme="majorBidi" w:hAnsiTheme="majorBidi" w:cstheme="majorBidi"/>
            <w:color w:val="auto"/>
            <w:sz w:val="20"/>
            <w:szCs w:val="20"/>
          </w:rPr>
          <w:t>Kastin</w:t>
        </w:r>
        <w:proofErr w:type="spellEnd"/>
        <w:r w:rsidR="00860896" w:rsidRPr="00536B92">
          <w:rPr>
            <w:rFonts w:asciiTheme="majorBidi" w:hAnsiTheme="majorBidi" w:cstheme="majorBidi"/>
            <w:color w:val="auto"/>
            <w:sz w:val="20"/>
            <w:szCs w:val="20"/>
          </w:rPr>
          <w:t>, P.K. Mishra, W. Pan, C-reactive protein increases BBB</w:t>
        </w:r>
      </w:hyperlink>
      <w:r w:rsidR="00860896" w:rsidRPr="00536B92">
        <w:rPr>
          <w:rFonts w:asciiTheme="majorBidi" w:hAnsiTheme="majorBidi" w:cstheme="majorBidi"/>
          <w:color w:val="auto"/>
          <w:sz w:val="20"/>
          <w:szCs w:val="20"/>
        </w:rPr>
        <w:t xml:space="preserve"> </w:t>
      </w:r>
      <w:hyperlink r:id="rId83">
        <w:r w:rsidR="00860896" w:rsidRPr="00536B92">
          <w:rPr>
            <w:rFonts w:asciiTheme="majorBidi" w:hAnsiTheme="majorBidi" w:cstheme="majorBidi"/>
            <w:color w:val="auto"/>
            <w:sz w:val="20"/>
            <w:szCs w:val="20"/>
          </w:rPr>
          <w:t xml:space="preserve">permeability: implications for obesity and </w:t>
        </w:r>
        <w:proofErr w:type="spellStart"/>
        <w:r w:rsidR="00860896" w:rsidRPr="00536B92">
          <w:rPr>
            <w:rFonts w:asciiTheme="majorBidi" w:hAnsiTheme="majorBidi" w:cstheme="majorBidi"/>
            <w:color w:val="auto"/>
            <w:sz w:val="20"/>
            <w:szCs w:val="20"/>
          </w:rPr>
          <w:t>neuroinflammation</w:t>
        </w:r>
        <w:proofErr w:type="spellEnd"/>
        <w:r w:rsidR="00860896" w:rsidRPr="00536B92">
          <w:rPr>
            <w:rFonts w:asciiTheme="majorBidi" w:hAnsiTheme="majorBidi" w:cstheme="majorBidi"/>
            <w:color w:val="auto"/>
            <w:sz w:val="20"/>
            <w:szCs w:val="20"/>
          </w:rPr>
          <w:t>, Cell. Physiol.</w:t>
        </w:r>
      </w:hyperlink>
      <w:r w:rsidR="00860896" w:rsidRPr="00536B92">
        <w:rPr>
          <w:rFonts w:asciiTheme="majorBidi" w:hAnsiTheme="majorBidi" w:cstheme="majorBidi"/>
          <w:color w:val="auto"/>
          <w:sz w:val="20"/>
          <w:szCs w:val="20"/>
        </w:rPr>
        <w:t xml:space="preserve"> </w:t>
      </w:r>
    </w:p>
    <w:p w:rsidR="001F47D8" w:rsidRPr="00536B92" w:rsidRDefault="00536B92">
      <w:pPr>
        <w:spacing w:line="252" w:lineRule="auto"/>
        <w:ind w:left="331" w:right="26" w:firstLine="0"/>
        <w:rPr>
          <w:rFonts w:asciiTheme="majorBidi" w:hAnsiTheme="majorBidi" w:cstheme="majorBidi"/>
          <w:color w:val="auto"/>
          <w:sz w:val="20"/>
          <w:szCs w:val="20"/>
        </w:rPr>
      </w:pPr>
      <w:hyperlink r:id="rId84">
        <w:r w:rsidR="00860896" w:rsidRPr="00536B92">
          <w:rPr>
            <w:rFonts w:asciiTheme="majorBidi" w:hAnsiTheme="majorBidi" w:cstheme="majorBidi"/>
            <w:color w:val="auto"/>
            <w:sz w:val="20"/>
            <w:szCs w:val="20"/>
          </w:rPr>
          <w:t>Biochem. 30 (5) (2012) 1109</w:t>
        </w:r>
      </w:hyperlink>
      <w:hyperlink r:id="rId85">
        <w:r w:rsidR="00860896" w:rsidRPr="00536B92">
          <w:rPr>
            <w:rFonts w:asciiTheme="majorBidi" w:hAnsiTheme="majorBidi" w:cstheme="majorBidi"/>
            <w:color w:val="auto"/>
            <w:sz w:val="20"/>
            <w:szCs w:val="20"/>
          </w:rPr>
          <w:t>–</w:t>
        </w:r>
      </w:hyperlink>
      <w:hyperlink r:id="rId86">
        <w:r w:rsidR="00860896" w:rsidRPr="00536B92">
          <w:rPr>
            <w:rFonts w:asciiTheme="majorBidi" w:hAnsiTheme="majorBidi" w:cstheme="majorBidi"/>
            <w:color w:val="auto"/>
            <w:sz w:val="20"/>
            <w:szCs w:val="20"/>
          </w:rPr>
          <w:t>1119</w:t>
        </w:r>
      </w:hyperlink>
      <w:hyperlink r:id="rId87">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88">
        <w:r w:rsidR="00860896" w:rsidRPr="00536B92">
          <w:rPr>
            <w:rFonts w:asciiTheme="majorBidi" w:hAnsiTheme="majorBidi" w:cstheme="majorBidi"/>
            <w:color w:val="auto"/>
            <w:sz w:val="20"/>
            <w:szCs w:val="20"/>
          </w:rPr>
          <w:t xml:space="preserve">A.L. </w:t>
        </w:r>
        <w:proofErr w:type="spellStart"/>
        <w:r w:rsidR="00860896" w:rsidRPr="00536B92">
          <w:rPr>
            <w:rFonts w:asciiTheme="majorBidi" w:hAnsiTheme="majorBidi" w:cstheme="majorBidi"/>
            <w:color w:val="auto"/>
            <w:sz w:val="20"/>
            <w:szCs w:val="20"/>
          </w:rPr>
          <w:t>Marsland</w:t>
        </w:r>
        <w:proofErr w:type="spellEnd"/>
        <w:r w:rsidR="00860896" w:rsidRPr="00536B92">
          <w:rPr>
            <w:rFonts w:asciiTheme="majorBidi" w:hAnsiTheme="majorBidi" w:cstheme="majorBidi"/>
            <w:color w:val="auto"/>
            <w:sz w:val="20"/>
            <w:szCs w:val="20"/>
          </w:rPr>
          <w:t xml:space="preserve">, P.J. </w:t>
        </w:r>
        <w:proofErr w:type="spellStart"/>
        <w:r w:rsidR="00860896" w:rsidRPr="00536B92">
          <w:rPr>
            <w:rFonts w:asciiTheme="majorBidi" w:hAnsiTheme="majorBidi" w:cstheme="majorBidi"/>
            <w:color w:val="auto"/>
            <w:sz w:val="20"/>
            <w:szCs w:val="20"/>
          </w:rPr>
          <w:t>Gianaros</w:t>
        </w:r>
        <w:proofErr w:type="spellEnd"/>
        <w:r w:rsidR="00860896" w:rsidRPr="00536B92">
          <w:rPr>
            <w:rFonts w:asciiTheme="majorBidi" w:hAnsiTheme="majorBidi" w:cstheme="majorBidi"/>
            <w:color w:val="auto"/>
            <w:sz w:val="20"/>
            <w:szCs w:val="20"/>
          </w:rPr>
          <w:t xml:space="preserve">, D.C.-H. </w:t>
        </w:r>
        <w:proofErr w:type="spellStart"/>
        <w:r w:rsidR="00860896" w:rsidRPr="00536B92">
          <w:rPr>
            <w:rFonts w:asciiTheme="majorBidi" w:hAnsiTheme="majorBidi" w:cstheme="majorBidi"/>
            <w:color w:val="auto"/>
            <w:sz w:val="20"/>
            <w:szCs w:val="20"/>
          </w:rPr>
          <w:t>Kuan</w:t>
        </w:r>
        <w:proofErr w:type="spellEnd"/>
        <w:r w:rsidR="00860896" w:rsidRPr="00536B92">
          <w:rPr>
            <w:rFonts w:asciiTheme="majorBidi" w:hAnsiTheme="majorBidi" w:cstheme="majorBidi"/>
            <w:color w:val="auto"/>
            <w:sz w:val="20"/>
            <w:szCs w:val="20"/>
          </w:rPr>
          <w:t xml:space="preserve">, L.K. </w:t>
        </w:r>
        <w:proofErr w:type="spellStart"/>
        <w:r w:rsidR="00860896" w:rsidRPr="00536B92">
          <w:rPr>
            <w:rFonts w:asciiTheme="majorBidi" w:hAnsiTheme="majorBidi" w:cstheme="majorBidi"/>
            <w:color w:val="auto"/>
            <w:sz w:val="20"/>
            <w:szCs w:val="20"/>
          </w:rPr>
          <w:t>Sheu</w:t>
        </w:r>
        <w:proofErr w:type="spellEnd"/>
        <w:r w:rsidR="00860896" w:rsidRPr="00536B92">
          <w:rPr>
            <w:rFonts w:asciiTheme="majorBidi" w:hAnsiTheme="majorBidi" w:cstheme="majorBidi"/>
            <w:color w:val="auto"/>
            <w:sz w:val="20"/>
            <w:szCs w:val="20"/>
          </w:rPr>
          <w:t xml:space="preserve">, K. Krajina, S.B. </w:t>
        </w:r>
        <w:proofErr w:type="spellStart"/>
        <w:r w:rsidR="00860896" w:rsidRPr="00536B92">
          <w:rPr>
            <w:rFonts w:asciiTheme="majorBidi" w:hAnsiTheme="majorBidi" w:cstheme="majorBidi"/>
            <w:color w:val="auto"/>
            <w:sz w:val="20"/>
            <w:szCs w:val="20"/>
          </w:rPr>
          <w:t>Manuck</w:t>
        </w:r>
        <w:proofErr w:type="spellEnd"/>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hyperlink r:id="rId89">
        <w:r w:rsidR="00860896" w:rsidRPr="00536B92">
          <w:rPr>
            <w:rFonts w:asciiTheme="majorBidi" w:hAnsiTheme="majorBidi" w:cstheme="majorBidi"/>
            <w:color w:val="auto"/>
            <w:sz w:val="20"/>
            <w:szCs w:val="20"/>
          </w:rPr>
          <w:t>Brain morphology links systemic inflammation to cognitive function in midlife</w:t>
        </w:r>
      </w:hyperlink>
      <w:r w:rsidR="00860896" w:rsidRPr="00536B92">
        <w:rPr>
          <w:rFonts w:asciiTheme="majorBidi" w:hAnsiTheme="majorBidi" w:cstheme="majorBidi"/>
          <w:color w:val="auto"/>
          <w:sz w:val="20"/>
          <w:szCs w:val="20"/>
        </w:rPr>
        <w:t xml:space="preserve"> </w:t>
      </w:r>
      <w:hyperlink r:id="rId90">
        <w:r w:rsidR="00860896" w:rsidRPr="00536B92">
          <w:rPr>
            <w:rFonts w:asciiTheme="majorBidi" w:hAnsiTheme="majorBidi" w:cstheme="majorBidi"/>
            <w:color w:val="auto"/>
            <w:sz w:val="20"/>
            <w:szCs w:val="20"/>
          </w:rPr>
          <w:t xml:space="preserve">adults, Brain </w:t>
        </w:r>
        <w:proofErr w:type="spellStart"/>
        <w:r w:rsidR="00860896" w:rsidRPr="00536B92">
          <w:rPr>
            <w:rFonts w:asciiTheme="majorBidi" w:hAnsiTheme="majorBidi" w:cstheme="majorBidi"/>
            <w:color w:val="auto"/>
            <w:sz w:val="20"/>
            <w:szCs w:val="20"/>
          </w:rPr>
          <w:t>Behav</w:t>
        </w:r>
        <w:proofErr w:type="spellEnd"/>
        <w:r w:rsidR="00860896" w:rsidRPr="00536B92">
          <w:rPr>
            <w:rFonts w:asciiTheme="majorBidi" w:hAnsiTheme="majorBidi" w:cstheme="majorBidi"/>
            <w:color w:val="auto"/>
            <w:sz w:val="20"/>
            <w:szCs w:val="20"/>
          </w:rPr>
          <w:t>. Immun. 48 (2015) 195</w:t>
        </w:r>
      </w:hyperlink>
      <w:hyperlink r:id="rId91">
        <w:r w:rsidR="00860896" w:rsidRPr="00536B92">
          <w:rPr>
            <w:rFonts w:asciiTheme="majorBidi" w:hAnsiTheme="majorBidi" w:cstheme="majorBidi"/>
            <w:color w:val="auto"/>
            <w:sz w:val="20"/>
            <w:szCs w:val="20"/>
          </w:rPr>
          <w:t>–</w:t>
        </w:r>
      </w:hyperlink>
      <w:hyperlink r:id="rId92">
        <w:r w:rsidR="00860896" w:rsidRPr="00536B92">
          <w:rPr>
            <w:rFonts w:asciiTheme="majorBidi" w:hAnsiTheme="majorBidi" w:cstheme="majorBidi"/>
            <w:color w:val="auto"/>
            <w:sz w:val="20"/>
            <w:szCs w:val="20"/>
          </w:rPr>
          <w:t>204</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93">
        <w:r w:rsidR="00860896" w:rsidRPr="00536B92">
          <w:rPr>
            <w:rFonts w:asciiTheme="majorBidi" w:hAnsiTheme="majorBidi" w:cstheme="majorBidi"/>
            <w:color w:val="auto"/>
            <w:sz w:val="20"/>
            <w:szCs w:val="20"/>
          </w:rPr>
          <w:t xml:space="preserve">B.M. Henry, G. Aggarwal, J. Wong, S. Benoit, J. </w:t>
        </w:r>
        <w:proofErr w:type="spellStart"/>
        <w:r w:rsidR="00860896" w:rsidRPr="00536B92">
          <w:rPr>
            <w:rFonts w:asciiTheme="majorBidi" w:hAnsiTheme="majorBidi" w:cstheme="majorBidi"/>
            <w:color w:val="auto"/>
            <w:sz w:val="20"/>
            <w:szCs w:val="20"/>
          </w:rPr>
          <w:t>Vikse</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Plebani</w:t>
        </w:r>
        <w:proofErr w:type="spellEnd"/>
        <w:r w:rsidR="00860896" w:rsidRPr="00536B92">
          <w:rPr>
            <w:rFonts w:asciiTheme="majorBidi" w:hAnsiTheme="majorBidi" w:cstheme="majorBidi"/>
            <w:color w:val="auto"/>
            <w:sz w:val="20"/>
            <w:szCs w:val="20"/>
          </w:rPr>
          <w:t>, et al., Lactate</w:t>
        </w:r>
      </w:hyperlink>
      <w:r w:rsidR="00860896" w:rsidRPr="00536B92">
        <w:rPr>
          <w:rFonts w:asciiTheme="majorBidi" w:hAnsiTheme="majorBidi" w:cstheme="majorBidi"/>
          <w:color w:val="auto"/>
          <w:sz w:val="20"/>
          <w:szCs w:val="20"/>
        </w:rPr>
        <w:t xml:space="preserve"> </w:t>
      </w:r>
      <w:hyperlink r:id="rId94">
        <w:r w:rsidR="00860896" w:rsidRPr="00536B92">
          <w:rPr>
            <w:rFonts w:asciiTheme="majorBidi" w:hAnsiTheme="majorBidi" w:cstheme="majorBidi"/>
            <w:color w:val="auto"/>
            <w:sz w:val="20"/>
            <w:szCs w:val="20"/>
          </w:rPr>
          <w:t xml:space="preserve">dehydrogenase levels predict coronavirus disease 2019 (COVID-19) severity and </w:t>
        </w:r>
      </w:hyperlink>
      <w:hyperlink r:id="rId95">
        <w:r w:rsidR="00860896" w:rsidRPr="00536B92">
          <w:rPr>
            <w:rFonts w:asciiTheme="majorBidi" w:hAnsiTheme="majorBidi" w:cstheme="majorBidi"/>
            <w:color w:val="auto"/>
            <w:sz w:val="20"/>
            <w:szCs w:val="20"/>
          </w:rPr>
          <w:t>mortality: a pooled analysis, Am. J. Emerg. Med. 38 (9) (2020) 1722</w:t>
        </w:r>
      </w:hyperlink>
      <w:hyperlink r:id="rId96">
        <w:r w:rsidR="00860896" w:rsidRPr="00536B92">
          <w:rPr>
            <w:rFonts w:asciiTheme="majorBidi" w:hAnsiTheme="majorBidi" w:cstheme="majorBidi"/>
            <w:color w:val="auto"/>
            <w:sz w:val="20"/>
            <w:szCs w:val="20"/>
          </w:rPr>
          <w:t>–</w:t>
        </w:r>
      </w:hyperlink>
      <w:hyperlink r:id="rId97">
        <w:r w:rsidR="00860896" w:rsidRPr="00536B92">
          <w:rPr>
            <w:rFonts w:asciiTheme="majorBidi" w:hAnsiTheme="majorBidi" w:cstheme="majorBidi"/>
            <w:color w:val="auto"/>
            <w:sz w:val="20"/>
            <w:szCs w:val="20"/>
          </w:rPr>
          <w:t>1726</w:t>
        </w:r>
      </w:hyperlink>
      <w:hyperlink r:id="rId98">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99">
        <w:r w:rsidR="00860896" w:rsidRPr="00536B92">
          <w:rPr>
            <w:rFonts w:asciiTheme="majorBidi" w:hAnsiTheme="majorBidi" w:cstheme="majorBidi"/>
            <w:color w:val="auto"/>
            <w:sz w:val="20"/>
            <w:szCs w:val="20"/>
          </w:rPr>
          <w:t xml:space="preserve">D. </w:t>
        </w:r>
        <w:proofErr w:type="spellStart"/>
        <w:r w:rsidR="00860896" w:rsidRPr="00536B92">
          <w:rPr>
            <w:rFonts w:asciiTheme="majorBidi" w:hAnsiTheme="majorBidi" w:cstheme="majorBidi"/>
            <w:color w:val="auto"/>
            <w:sz w:val="20"/>
            <w:szCs w:val="20"/>
          </w:rPr>
          <w:t>Orsucci</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Trezzi</w:t>
        </w:r>
        <w:proofErr w:type="spellEnd"/>
        <w:r w:rsidR="00860896" w:rsidRPr="00536B92">
          <w:rPr>
            <w:rFonts w:asciiTheme="majorBidi" w:hAnsiTheme="majorBidi" w:cstheme="majorBidi"/>
            <w:color w:val="auto"/>
            <w:sz w:val="20"/>
            <w:szCs w:val="20"/>
          </w:rPr>
          <w:t xml:space="preserve">, R. </w:t>
        </w:r>
        <w:proofErr w:type="spellStart"/>
        <w:r w:rsidR="00860896" w:rsidRPr="00536B92">
          <w:rPr>
            <w:rFonts w:asciiTheme="majorBidi" w:hAnsiTheme="majorBidi" w:cstheme="majorBidi"/>
            <w:color w:val="auto"/>
            <w:sz w:val="20"/>
            <w:szCs w:val="20"/>
          </w:rPr>
          <w:t>Anichini</w:t>
        </w:r>
        <w:proofErr w:type="spellEnd"/>
        <w:r w:rsidR="00860896" w:rsidRPr="00536B92">
          <w:rPr>
            <w:rFonts w:asciiTheme="majorBidi" w:hAnsiTheme="majorBidi" w:cstheme="majorBidi"/>
            <w:color w:val="auto"/>
            <w:sz w:val="20"/>
            <w:szCs w:val="20"/>
          </w:rPr>
          <w:t xml:space="preserve">, P. Blanc, L. </w:t>
        </w:r>
        <w:proofErr w:type="spellStart"/>
        <w:r w:rsidR="00860896" w:rsidRPr="00536B92">
          <w:rPr>
            <w:rFonts w:asciiTheme="majorBidi" w:hAnsiTheme="majorBidi" w:cstheme="majorBidi"/>
            <w:color w:val="auto"/>
            <w:sz w:val="20"/>
            <w:szCs w:val="20"/>
          </w:rPr>
          <w:t>Barontini</w:t>
        </w:r>
        <w:proofErr w:type="spellEnd"/>
        <w:r w:rsidR="00860896" w:rsidRPr="00536B92">
          <w:rPr>
            <w:rFonts w:asciiTheme="majorBidi" w:hAnsiTheme="majorBidi" w:cstheme="majorBidi"/>
            <w:color w:val="auto"/>
            <w:sz w:val="20"/>
            <w:szCs w:val="20"/>
          </w:rPr>
          <w:t xml:space="preserve">, C. </w:t>
        </w:r>
        <w:proofErr w:type="spellStart"/>
        <w:r w:rsidR="00860896" w:rsidRPr="00536B92">
          <w:rPr>
            <w:rFonts w:asciiTheme="majorBidi" w:hAnsiTheme="majorBidi" w:cstheme="majorBidi"/>
            <w:color w:val="auto"/>
            <w:sz w:val="20"/>
            <w:szCs w:val="20"/>
          </w:rPr>
          <w:t>Biagini</w:t>
        </w:r>
        <w:proofErr w:type="spellEnd"/>
        <w:r w:rsidR="00860896" w:rsidRPr="00536B92">
          <w:rPr>
            <w:rFonts w:asciiTheme="majorBidi" w:hAnsiTheme="majorBidi" w:cstheme="majorBidi"/>
            <w:color w:val="auto"/>
            <w:sz w:val="20"/>
            <w:szCs w:val="20"/>
          </w:rPr>
          <w:t xml:space="preserve">, et al., Increased </w:t>
        </w:r>
      </w:hyperlink>
      <w:hyperlink r:id="rId100">
        <w:proofErr w:type="spellStart"/>
        <w:r w:rsidR="00860896" w:rsidRPr="00536B92">
          <w:rPr>
            <w:rFonts w:asciiTheme="majorBidi" w:hAnsiTheme="majorBidi" w:cstheme="majorBidi"/>
            <w:color w:val="auto"/>
            <w:sz w:val="20"/>
            <w:szCs w:val="20"/>
          </w:rPr>
          <w:t>creatine</w:t>
        </w:r>
        <w:proofErr w:type="spellEnd"/>
        <w:r w:rsidR="00860896" w:rsidRPr="00536B92">
          <w:rPr>
            <w:rFonts w:asciiTheme="majorBidi" w:hAnsiTheme="majorBidi" w:cstheme="majorBidi"/>
            <w:color w:val="auto"/>
            <w:sz w:val="20"/>
            <w:szCs w:val="20"/>
          </w:rPr>
          <w:t xml:space="preserve"> kinase may predict a worse COVID-19 outcome, J. </w:t>
        </w:r>
        <w:proofErr w:type="spellStart"/>
        <w:r w:rsidR="00860896" w:rsidRPr="00536B92">
          <w:rPr>
            <w:rFonts w:asciiTheme="majorBidi" w:hAnsiTheme="majorBidi" w:cstheme="majorBidi"/>
            <w:color w:val="auto"/>
            <w:sz w:val="20"/>
            <w:szCs w:val="20"/>
          </w:rPr>
          <w:t>Clin</w:t>
        </w:r>
        <w:proofErr w:type="spellEnd"/>
        <w:r w:rsidR="00860896" w:rsidRPr="00536B92">
          <w:rPr>
            <w:rFonts w:asciiTheme="majorBidi" w:hAnsiTheme="majorBidi" w:cstheme="majorBidi"/>
            <w:color w:val="auto"/>
            <w:sz w:val="20"/>
            <w:szCs w:val="20"/>
          </w:rPr>
          <w:t xml:space="preserve">. Med. 10 (8) </w:t>
        </w:r>
      </w:hyperlink>
      <w:hyperlink r:id="rId101">
        <w:r w:rsidR="00860896" w:rsidRPr="00536B92">
          <w:rPr>
            <w:rFonts w:asciiTheme="majorBidi" w:hAnsiTheme="majorBidi" w:cstheme="majorBidi"/>
            <w:color w:val="auto"/>
            <w:sz w:val="20"/>
            <w:szCs w:val="20"/>
          </w:rPr>
          <w:t>(2021) 1734</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02">
        <w:r w:rsidR="00860896" w:rsidRPr="00536B92">
          <w:rPr>
            <w:rFonts w:asciiTheme="majorBidi" w:hAnsiTheme="majorBidi" w:cstheme="majorBidi"/>
            <w:color w:val="auto"/>
            <w:sz w:val="20"/>
            <w:szCs w:val="20"/>
          </w:rPr>
          <w:t xml:space="preserve">E.J. Williamson, A.J. Walker, K. </w:t>
        </w:r>
        <w:proofErr w:type="spellStart"/>
        <w:r w:rsidR="00860896" w:rsidRPr="00536B92">
          <w:rPr>
            <w:rFonts w:asciiTheme="majorBidi" w:hAnsiTheme="majorBidi" w:cstheme="majorBidi"/>
            <w:color w:val="auto"/>
            <w:sz w:val="20"/>
            <w:szCs w:val="20"/>
          </w:rPr>
          <w:t>Bhaskaran</w:t>
        </w:r>
        <w:proofErr w:type="spellEnd"/>
        <w:r w:rsidR="00860896" w:rsidRPr="00536B92">
          <w:rPr>
            <w:rFonts w:asciiTheme="majorBidi" w:hAnsiTheme="majorBidi" w:cstheme="majorBidi"/>
            <w:color w:val="auto"/>
            <w:sz w:val="20"/>
            <w:szCs w:val="20"/>
          </w:rPr>
          <w:t xml:space="preserve">, S. Bacon, C. Bates, C.E. Morton, et al., </w:t>
        </w:r>
      </w:hyperlink>
      <w:hyperlink r:id="rId103">
        <w:r w:rsidR="00860896" w:rsidRPr="00536B92">
          <w:rPr>
            <w:rFonts w:asciiTheme="majorBidi" w:hAnsiTheme="majorBidi" w:cstheme="majorBidi"/>
            <w:color w:val="auto"/>
            <w:sz w:val="20"/>
            <w:szCs w:val="20"/>
          </w:rPr>
          <w:t xml:space="preserve">Factors associated with COVID-19-related death using </w:t>
        </w:r>
        <w:proofErr w:type="spellStart"/>
        <w:r w:rsidR="00860896" w:rsidRPr="00536B92">
          <w:rPr>
            <w:rFonts w:asciiTheme="majorBidi" w:hAnsiTheme="majorBidi" w:cstheme="majorBidi"/>
            <w:color w:val="auto"/>
            <w:sz w:val="20"/>
            <w:szCs w:val="20"/>
          </w:rPr>
          <w:t>OpenSAFELY</w:t>
        </w:r>
        <w:proofErr w:type="spellEnd"/>
        <w:r w:rsidR="00860896" w:rsidRPr="00536B92">
          <w:rPr>
            <w:rFonts w:asciiTheme="majorBidi" w:hAnsiTheme="majorBidi" w:cstheme="majorBidi"/>
            <w:color w:val="auto"/>
            <w:sz w:val="20"/>
            <w:szCs w:val="20"/>
          </w:rPr>
          <w:t>, Nature 584</w:t>
        </w:r>
      </w:hyperlink>
      <w:r w:rsidR="00860896" w:rsidRPr="00536B92">
        <w:rPr>
          <w:rFonts w:asciiTheme="majorBidi" w:hAnsiTheme="majorBidi" w:cstheme="majorBidi"/>
          <w:color w:val="auto"/>
          <w:sz w:val="20"/>
          <w:szCs w:val="20"/>
        </w:rPr>
        <w:t xml:space="preserve"> </w:t>
      </w:r>
    </w:p>
    <w:p w:rsidR="001F47D8" w:rsidRPr="00536B92" w:rsidRDefault="00536B92">
      <w:pPr>
        <w:spacing w:line="252" w:lineRule="auto"/>
        <w:ind w:left="331" w:right="26" w:firstLine="0"/>
        <w:rPr>
          <w:rFonts w:asciiTheme="majorBidi" w:hAnsiTheme="majorBidi" w:cstheme="majorBidi"/>
          <w:color w:val="auto"/>
          <w:sz w:val="20"/>
          <w:szCs w:val="20"/>
        </w:rPr>
      </w:pPr>
      <w:hyperlink r:id="rId104">
        <w:r w:rsidR="00860896" w:rsidRPr="00536B92">
          <w:rPr>
            <w:rFonts w:asciiTheme="majorBidi" w:hAnsiTheme="majorBidi" w:cstheme="majorBidi"/>
            <w:color w:val="auto"/>
            <w:sz w:val="20"/>
            <w:szCs w:val="20"/>
          </w:rPr>
          <w:t>(7821) (2020) 430</w:t>
        </w:r>
      </w:hyperlink>
      <w:hyperlink r:id="rId105">
        <w:r w:rsidR="00860896" w:rsidRPr="00536B92">
          <w:rPr>
            <w:rFonts w:asciiTheme="majorBidi" w:hAnsiTheme="majorBidi" w:cstheme="majorBidi"/>
            <w:color w:val="auto"/>
            <w:sz w:val="20"/>
            <w:szCs w:val="20"/>
          </w:rPr>
          <w:t>–</w:t>
        </w:r>
      </w:hyperlink>
      <w:hyperlink r:id="rId106">
        <w:r w:rsidR="00860896" w:rsidRPr="00536B92">
          <w:rPr>
            <w:rFonts w:asciiTheme="majorBidi" w:hAnsiTheme="majorBidi" w:cstheme="majorBidi"/>
            <w:color w:val="auto"/>
            <w:sz w:val="20"/>
            <w:szCs w:val="20"/>
          </w:rPr>
          <w:t>436</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107">
        <w:r w:rsidR="00860896" w:rsidRPr="00536B92">
          <w:rPr>
            <w:rFonts w:asciiTheme="majorBidi" w:hAnsiTheme="majorBidi" w:cstheme="majorBidi"/>
            <w:color w:val="auto"/>
            <w:sz w:val="20"/>
            <w:szCs w:val="20"/>
          </w:rPr>
          <w:t xml:space="preserve">Y. Yao, J. Cao, Q. Wang, Q. Shi, K. Liu, Z. </w:t>
        </w:r>
        <w:proofErr w:type="spellStart"/>
        <w:r w:rsidR="00860896" w:rsidRPr="00536B92">
          <w:rPr>
            <w:rFonts w:asciiTheme="majorBidi" w:hAnsiTheme="majorBidi" w:cstheme="majorBidi"/>
            <w:color w:val="auto"/>
            <w:sz w:val="20"/>
            <w:szCs w:val="20"/>
          </w:rPr>
          <w:t>Luo</w:t>
        </w:r>
        <w:proofErr w:type="spellEnd"/>
        <w:r w:rsidR="00860896" w:rsidRPr="00536B92">
          <w:rPr>
            <w:rFonts w:asciiTheme="majorBidi" w:hAnsiTheme="majorBidi" w:cstheme="majorBidi"/>
            <w:color w:val="auto"/>
            <w:sz w:val="20"/>
            <w:szCs w:val="20"/>
          </w:rPr>
          <w:t xml:space="preserve">, et al., D-dimer as a biomarker for </w:t>
        </w:r>
      </w:hyperlink>
      <w:hyperlink r:id="rId108">
        <w:r w:rsidR="00860896" w:rsidRPr="00536B92">
          <w:rPr>
            <w:rFonts w:asciiTheme="majorBidi" w:hAnsiTheme="majorBidi" w:cstheme="majorBidi"/>
            <w:color w:val="auto"/>
            <w:sz w:val="20"/>
            <w:szCs w:val="20"/>
          </w:rPr>
          <w:t xml:space="preserve">disease severity and mortality in COVID-19 patients: a case control study, </w:t>
        </w:r>
      </w:hyperlink>
      <w:hyperlink r:id="rId109">
        <w:r w:rsidR="00860896" w:rsidRPr="00536B92">
          <w:rPr>
            <w:rFonts w:asciiTheme="majorBidi" w:hAnsiTheme="majorBidi" w:cstheme="majorBidi"/>
            <w:color w:val="auto"/>
            <w:sz w:val="20"/>
            <w:szCs w:val="20"/>
          </w:rPr>
          <w:t>J. Intensive Care 8 (2020) 1</w:t>
        </w:r>
      </w:hyperlink>
      <w:hyperlink r:id="rId110">
        <w:r w:rsidR="00860896" w:rsidRPr="00536B92">
          <w:rPr>
            <w:rFonts w:asciiTheme="majorBidi" w:hAnsiTheme="majorBidi" w:cstheme="majorBidi"/>
            <w:color w:val="auto"/>
            <w:sz w:val="20"/>
            <w:szCs w:val="20"/>
          </w:rPr>
          <w:t>–</w:t>
        </w:r>
      </w:hyperlink>
      <w:hyperlink r:id="rId111">
        <w:r w:rsidR="00860896" w:rsidRPr="00536B92">
          <w:rPr>
            <w:rFonts w:asciiTheme="majorBidi" w:hAnsiTheme="majorBidi" w:cstheme="majorBidi"/>
            <w:color w:val="auto"/>
            <w:sz w:val="20"/>
            <w:szCs w:val="20"/>
          </w:rPr>
          <w:t>11</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12">
        <w:r w:rsidR="00860896" w:rsidRPr="00536B92">
          <w:rPr>
            <w:rFonts w:asciiTheme="majorBidi" w:hAnsiTheme="majorBidi" w:cstheme="majorBidi"/>
            <w:color w:val="auto"/>
            <w:sz w:val="20"/>
            <w:szCs w:val="20"/>
          </w:rPr>
          <w:t>A.L. Mueller, M.S. McNamara, D.A. Sinclair, Why does COVID-19</w:t>
        </w:r>
      </w:hyperlink>
      <w:r w:rsidR="00860896" w:rsidRPr="00536B92">
        <w:rPr>
          <w:rFonts w:asciiTheme="majorBidi" w:hAnsiTheme="majorBidi" w:cstheme="majorBidi"/>
          <w:color w:val="auto"/>
          <w:sz w:val="20"/>
          <w:szCs w:val="20"/>
        </w:rPr>
        <w:t xml:space="preserve"> </w:t>
      </w:r>
      <w:hyperlink r:id="rId113">
        <w:r w:rsidR="00860896" w:rsidRPr="00536B92">
          <w:rPr>
            <w:rFonts w:asciiTheme="majorBidi" w:hAnsiTheme="majorBidi" w:cstheme="majorBidi"/>
            <w:color w:val="auto"/>
            <w:sz w:val="20"/>
            <w:szCs w:val="20"/>
          </w:rPr>
          <w:t>disproportionately affect older people? Aging (</w:t>
        </w:r>
        <w:proofErr w:type="spellStart"/>
        <w:proofErr w:type="gramStart"/>
        <w:r w:rsidR="00860896" w:rsidRPr="00536B92">
          <w:rPr>
            <w:rFonts w:asciiTheme="majorBidi" w:hAnsiTheme="majorBidi" w:cstheme="majorBidi"/>
            <w:color w:val="auto"/>
            <w:sz w:val="20"/>
            <w:szCs w:val="20"/>
          </w:rPr>
          <w:t>albany</w:t>
        </w:r>
        <w:proofErr w:type="spellEnd"/>
        <w:proofErr w:type="gramEnd"/>
        <w:r w:rsidR="00860896" w:rsidRPr="00536B92">
          <w:rPr>
            <w:rFonts w:asciiTheme="majorBidi" w:hAnsiTheme="majorBidi" w:cstheme="majorBidi"/>
            <w:color w:val="auto"/>
            <w:sz w:val="20"/>
            <w:szCs w:val="20"/>
          </w:rPr>
          <w:t xml:space="preserve"> NY) 12 (10) (2020) 9959</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14">
        <w:r w:rsidR="00860896" w:rsidRPr="00536B92">
          <w:rPr>
            <w:rFonts w:asciiTheme="majorBidi" w:hAnsiTheme="majorBidi" w:cstheme="majorBidi"/>
            <w:color w:val="auto"/>
            <w:sz w:val="20"/>
            <w:szCs w:val="20"/>
          </w:rPr>
          <w:t xml:space="preserve">S. </w:t>
        </w:r>
        <w:proofErr w:type="spellStart"/>
        <w:r w:rsidR="00860896" w:rsidRPr="00536B92">
          <w:rPr>
            <w:rFonts w:asciiTheme="majorBidi" w:hAnsiTheme="majorBidi" w:cstheme="majorBidi"/>
            <w:color w:val="auto"/>
            <w:sz w:val="20"/>
            <w:szCs w:val="20"/>
          </w:rPr>
          <w:t>Sherwani</w:t>
        </w:r>
        <w:proofErr w:type="spellEnd"/>
        <w:r w:rsidR="00860896" w:rsidRPr="00536B92">
          <w:rPr>
            <w:rFonts w:asciiTheme="majorBidi" w:hAnsiTheme="majorBidi" w:cstheme="majorBidi"/>
            <w:color w:val="auto"/>
            <w:sz w:val="20"/>
            <w:szCs w:val="20"/>
          </w:rPr>
          <w:t xml:space="preserve">, M.W.A. Khan, Cytokine response in SARS-CoV-2 infection in the </w:t>
        </w:r>
      </w:hyperlink>
      <w:hyperlink r:id="rId115">
        <w:r w:rsidR="00860896" w:rsidRPr="00536B92">
          <w:rPr>
            <w:rFonts w:asciiTheme="majorBidi" w:hAnsiTheme="majorBidi" w:cstheme="majorBidi"/>
            <w:color w:val="auto"/>
            <w:sz w:val="20"/>
            <w:szCs w:val="20"/>
          </w:rPr>
          <w:t xml:space="preserve">elderly, J. </w:t>
        </w:r>
        <w:proofErr w:type="spellStart"/>
        <w:r w:rsidR="00860896" w:rsidRPr="00536B92">
          <w:rPr>
            <w:rFonts w:asciiTheme="majorBidi" w:hAnsiTheme="majorBidi" w:cstheme="majorBidi"/>
            <w:color w:val="auto"/>
            <w:sz w:val="20"/>
            <w:szCs w:val="20"/>
          </w:rPr>
          <w:t>Inflamm</w:t>
        </w:r>
        <w:proofErr w:type="spellEnd"/>
        <w:r w:rsidR="00860896" w:rsidRPr="00536B92">
          <w:rPr>
            <w:rFonts w:asciiTheme="majorBidi" w:hAnsiTheme="majorBidi" w:cstheme="majorBidi"/>
            <w:color w:val="auto"/>
            <w:sz w:val="20"/>
            <w:szCs w:val="20"/>
          </w:rPr>
          <w:t>. Res. (2020) 737</w:t>
        </w:r>
      </w:hyperlink>
      <w:hyperlink r:id="rId116">
        <w:r w:rsidR="00860896" w:rsidRPr="00536B92">
          <w:rPr>
            <w:rFonts w:asciiTheme="majorBidi" w:hAnsiTheme="majorBidi" w:cstheme="majorBidi"/>
            <w:color w:val="auto"/>
            <w:sz w:val="20"/>
            <w:szCs w:val="20"/>
          </w:rPr>
          <w:t>–</w:t>
        </w:r>
      </w:hyperlink>
      <w:hyperlink r:id="rId117">
        <w:r w:rsidR="00860896" w:rsidRPr="00536B92">
          <w:rPr>
            <w:rFonts w:asciiTheme="majorBidi" w:hAnsiTheme="majorBidi" w:cstheme="majorBidi"/>
            <w:color w:val="auto"/>
            <w:sz w:val="20"/>
            <w:szCs w:val="20"/>
          </w:rPr>
          <w:t>747</w:t>
        </w:r>
      </w:hyperlink>
      <w:hyperlink r:id="rId118">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119">
        <w:r w:rsidR="00860896" w:rsidRPr="00536B92">
          <w:rPr>
            <w:rFonts w:asciiTheme="majorBidi" w:hAnsiTheme="majorBidi" w:cstheme="majorBidi"/>
            <w:color w:val="auto"/>
            <w:sz w:val="20"/>
            <w:szCs w:val="20"/>
          </w:rPr>
          <w:t xml:space="preserve">A.B. Cohen, G.J. </w:t>
        </w:r>
        <w:proofErr w:type="spellStart"/>
        <w:r w:rsidR="00860896" w:rsidRPr="00536B92">
          <w:rPr>
            <w:rFonts w:asciiTheme="majorBidi" w:hAnsiTheme="majorBidi" w:cstheme="majorBidi"/>
            <w:color w:val="auto"/>
            <w:sz w:val="20"/>
            <w:szCs w:val="20"/>
          </w:rPr>
          <w:t>McAvay</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Geda</w:t>
        </w:r>
        <w:proofErr w:type="spellEnd"/>
        <w:r w:rsidR="00860896" w:rsidRPr="00536B92">
          <w:rPr>
            <w:rFonts w:asciiTheme="majorBidi" w:hAnsiTheme="majorBidi" w:cstheme="majorBidi"/>
            <w:color w:val="auto"/>
            <w:sz w:val="20"/>
            <w:szCs w:val="20"/>
          </w:rPr>
          <w:t xml:space="preserve">, S. </w:t>
        </w:r>
        <w:proofErr w:type="spellStart"/>
        <w:r w:rsidR="00860896" w:rsidRPr="00536B92">
          <w:rPr>
            <w:rFonts w:asciiTheme="majorBidi" w:hAnsiTheme="majorBidi" w:cstheme="majorBidi"/>
            <w:color w:val="auto"/>
            <w:sz w:val="20"/>
            <w:szCs w:val="20"/>
          </w:rPr>
          <w:t>Chattopadhyay</w:t>
        </w:r>
        <w:proofErr w:type="spellEnd"/>
        <w:r w:rsidR="00860896" w:rsidRPr="00536B92">
          <w:rPr>
            <w:rFonts w:asciiTheme="majorBidi" w:hAnsiTheme="majorBidi" w:cstheme="majorBidi"/>
            <w:color w:val="auto"/>
            <w:sz w:val="20"/>
            <w:szCs w:val="20"/>
          </w:rPr>
          <w:t xml:space="preserve">, S. Lee, D. </w:t>
        </w:r>
        <w:proofErr w:type="spellStart"/>
        <w:r w:rsidR="00860896" w:rsidRPr="00536B92">
          <w:rPr>
            <w:rFonts w:asciiTheme="majorBidi" w:hAnsiTheme="majorBidi" w:cstheme="majorBidi"/>
            <w:color w:val="auto"/>
            <w:sz w:val="20"/>
            <w:szCs w:val="20"/>
          </w:rPr>
          <w:t>Acampora</w:t>
        </w:r>
        <w:proofErr w:type="spellEnd"/>
        <w:r w:rsidR="00860896" w:rsidRPr="00536B92">
          <w:rPr>
            <w:rFonts w:asciiTheme="majorBidi" w:hAnsiTheme="majorBidi" w:cstheme="majorBidi"/>
            <w:color w:val="auto"/>
            <w:sz w:val="20"/>
            <w:szCs w:val="20"/>
          </w:rPr>
          <w:t xml:space="preserve">, et al., </w:t>
        </w:r>
      </w:hyperlink>
      <w:hyperlink r:id="rId120">
        <w:r w:rsidR="00860896" w:rsidRPr="00536B92">
          <w:rPr>
            <w:rFonts w:asciiTheme="majorBidi" w:hAnsiTheme="majorBidi" w:cstheme="majorBidi"/>
            <w:color w:val="auto"/>
            <w:sz w:val="20"/>
            <w:szCs w:val="20"/>
          </w:rPr>
          <w:t xml:space="preserve">Rationale, design, and characteristics of the VALIANT (CO V ID-19 in older adults: </w:t>
        </w:r>
      </w:hyperlink>
      <w:hyperlink r:id="rId121">
        <w:r w:rsidR="00860896" w:rsidRPr="00536B92">
          <w:rPr>
            <w:rFonts w:asciiTheme="majorBidi" w:hAnsiTheme="majorBidi" w:cstheme="majorBidi"/>
            <w:color w:val="auto"/>
            <w:sz w:val="20"/>
            <w:szCs w:val="20"/>
          </w:rPr>
          <w:t xml:space="preserve">AL </w:t>
        </w:r>
        <w:proofErr w:type="spellStart"/>
        <w:r w:rsidR="00860896" w:rsidRPr="00536B92">
          <w:rPr>
            <w:rFonts w:asciiTheme="majorBidi" w:hAnsiTheme="majorBidi" w:cstheme="majorBidi"/>
            <w:color w:val="auto"/>
            <w:sz w:val="20"/>
            <w:szCs w:val="20"/>
          </w:rPr>
          <w:t>ong</w:t>
        </w:r>
        <w:proofErr w:type="spellEnd"/>
        <w:r w:rsidR="00860896" w:rsidRPr="00536B92">
          <w:rPr>
            <w:rFonts w:asciiTheme="majorBidi" w:hAnsiTheme="majorBidi" w:cstheme="majorBidi"/>
            <w:color w:val="auto"/>
            <w:sz w:val="20"/>
            <w:szCs w:val="20"/>
          </w:rPr>
          <w:t xml:space="preserve"> i </w:t>
        </w:r>
        <w:proofErr w:type="spellStart"/>
        <w:r w:rsidR="00860896" w:rsidRPr="00536B92">
          <w:rPr>
            <w:rFonts w:asciiTheme="majorBidi" w:hAnsiTheme="majorBidi" w:cstheme="majorBidi"/>
            <w:color w:val="auto"/>
            <w:sz w:val="20"/>
            <w:szCs w:val="20"/>
          </w:rPr>
          <w:t>tudinal</w:t>
        </w:r>
        <w:proofErr w:type="spellEnd"/>
        <w:r w:rsidR="00860896" w:rsidRPr="00536B92">
          <w:rPr>
            <w:rFonts w:asciiTheme="majorBidi" w:hAnsiTheme="majorBidi" w:cstheme="majorBidi"/>
            <w:color w:val="auto"/>
            <w:sz w:val="20"/>
            <w:szCs w:val="20"/>
          </w:rPr>
          <w:t xml:space="preserve"> A </w:t>
        </w:r>
        <w:proofErr w:type="spellStart"/>
        <w:r w:rsidR="00860896" w:rsidRPr="00536B92">
          <w:rPr>
            <w:rFonts w:asciiTheme="majorBidi" w:hAnsiTheme="majorBidi" w:cstheme="majorBidi"/>
            <w:color w:val="auto"/>
            <w:sz w:val="20"/>
            <w:szCs w:val="20"/>
          </w:rPr>
          <w:t>ssessme</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nt</w:t>
        </w:r>
        <w:proofErr w:type="spellEnd"/>
        <w:r w:rsidR="00860896" w:rsidRPr="00536B92">
          <w:rPr>
            <w:rFonts w:asciiTheme="majorBidi" w:hAnsiTheme="majorBidi" w:cstheme="majorBidi"/>
            <w:color w:val="auto"/>
            <w:sz w:val="20"/>
            <w:szCs w:val="20"/>
          </w:rPr>
          <w:t xml:space="preserve">) cohort, J. Am. </w:t>
        </w:r>
        <w:proofErr w:type="spellStart"/>
        <w:r w:rsidR="00860896" w:rsidRPr="00536B92">
          <w:rPr>
            <w:rFonts w:asciiTheme="majorBidi" w:hAnsiTheme="majorBidi" w:cstheme="majorBidi"/>
            <w:color w:val="auto"/>
            <w:sz w:val="20"/>
            <w:szCs w:val="20"/>
          </w:rPr>
          <w:t>Geriatr</w:t>
        </w:r>
        <w:proofErr w:type="spellEnd"/>
        <w:r w:rsidR="00860896" w:rsidRPr="00536B92">
          <w:rPr>
            <w:rFonts w:asciiTheme="majorBidi" w:hAnsiTheme="majorBidi" w:cstheme="majorBidi"/>
            <w:color w:val="auto"/>
            <w:sz w:val="20"/>
            <w:szCs w:val="20"/>
          </w:rPr>
          <w:t>. Soc. 71 (3) (2023) 832</w:t>
        </w:r>
      </w:hyperlink>
      <w:hyperlink r:id="rId122">
        <w:r w:rsidR="00860896" w:rsidRPr="00536B92">
          <w:rPr>
            <w:rFonts w:asciiTheme="majorBidi" w:hAnsiTheme="majorBidi" w:cstheme="majorBidi"/>
            <w:color w:val="auto"/>
            <w:sz w:val="20"/>
            <w:szCs w:val="20"/>
          </w:rPr>
          <w:t>–</w:t>
        </w:r>
      </w:hyperlink>
      <w:hyperlink r:id="rId123">
        <w:r w:rsidR="00860896" w:rsidRPr="00536B92">
          <w:rPr>
            <w:rFonts w:asciiTheme="majorBidi" w:hAnsiTheme="majorBidi" w:cstheme="majorBidi"/>
            <w:color w:val="auto"/>
            <w:sz w:val="20"/>
            <w:szCs w:val="20"/>
          </w:rPr>
          <w:t>844</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24">
        <w:r w:rsidR="00860896" w:rsidRPr="00536B92">
          <w:rPr>
            <w:rFonts w:asciiTheme="majorBidi" w:hAnsiTheme="majorBidi" w:cstheme="majorBidi"/>
            <w:color w:val="auto"/>
            <w:sz w:val="20"/>
            <w:szCs w:val="20"/>
          </w:rPr>
          <w:t xml:space="preserve">A. Corbett, G. Williams, B. </w:t>
        </w:r>
        <w:proofErr w:type="spellStart"/>
        <w:r w:rsidR="00860896" w:rsidRPr="00536B92">
          <w:rPr>
            <w:rFonts w:asciiTheme="majorBidi" w:hAnsiTheme="majorBidi" w:cstheme="majorBidi"/>
            <w:color w:val="auto"/>
            <w:sz w:val="20"/>
            <w:szCs w:val="20"/>
          </w:rPr>
          <w:t>Creese</w:t>
        </w:r>
        <w:proofErr w:type="spellEnd"/>
        <w:r w:rsidR="00860896" w:rsidRPr="00536B92">
          <w:rPr>
            <w:rFonts w:asciiTheme="majorBidi" w:hAnsiTheme="majorBidi" w:cstheme="majorBidi"/>
            <w:color w:val="auto"/>
            <w:sz w:val="20"/>
            <w:szCs w:val="20"/>
          </w:rPr>
          <w:t xml:space="preserve">, A. Hampshire, V. Hayman, A. Palmer, et al., </w:t>
        </w:r>
      </w:hyperlink>
      <w:hyperlink r:id="rId125">
        <w:r w:rsidR="00860896" w:rsidRPr="00536B92">
          <w:rPr>
            <w:rFonts w:asciiTheme="majorBidi" w:hAnsiTheme="majorBidi" w:cstheme="majorBidi"/>
            <w:color w:val="auto"/>
            <w:sz w:val="20"/>
            <w:szCs w:val="20"/>
          </w:rPr>
          <w:t>Cognitive decline in older adults in the UK during and after the COVID-19</w:t>
        </w:r>
      </w:hyperlink>
      <w:r w:rsidR="00860896" w:rsidRPr="00536B92">
        <w:rPr>
          <w:rFonts w:asciiTheme="majorBidi" w:hAnsiTheme="majorBidi" w:cstheme="majorBidi"/>
          <w:color w:val="auto"/>
          <w:sz w:val="20"/>
          <w:szCs w:val="20"/>
        </w:rPr>
        <w:t xml:space="preserve"> </w:t>
      </w:r>
      <w:hyperlink r:id="rId126">
        <w:r w:rsidR="00860896" w:rsidRPr="00536B92">
          <w:rPr>
            <w:rFonts w:asciiTheme="majorBidi" w:hAnsiTheme="majorBidi" w:cstheme="majorBidi"/>
            <w:color w:val="auto"/>
            <w:sz w:val="20"/>
            <w:szCs w:val="20"/>
          </w:rPr>
          <w:t xml:space="preserve">pandemic: a longitudinal analysis of PROTECT study data, Lancet Healthy </w:t>
        </w:r>
        <w:proofErr w:type="spellStart"/>
        <w:r w:rsidR="00860896" w:rsidRPr="00536B92">
          <w:rPr>
            <w:rFonts w:asciiTheme="majorBidi" w:hAnsiTheme="majorBidi" w:cstheme="majorBidi"/>
            <w:color w:val="auto"/>
            <w:sz w:val="20"/>
            <w:szCs w:val="20"/>
          </w:rPr>
          <w:t>Longev</w:t>
        </w:r>
        <w:proofErr w:type="spellEnd"/>
        <w:r w:rsidR="00860896" w:rsidRPr="00536B92">
          <w:rPr>
            <w:rFonts w:asciiTheme="majorBidi" w:hAnsiTheme="majorBidi" w:cstheme="majorBidi"/>
            <w:color w:val="auto"/>
            <w:sz w:val="20"/>
            <w:szCs w:val="20"/>
          </w:rPr>
          <w:t xml:space="preserve">. </w:t>
        </w:r>
      </w:hyperlink>
      <w:hyperlink r:id="rId127">
        <w:r w:rsidR="00860896" w:rsidRPr="00536B92">
          <w:rPr>
            <w:rFonts w:asciiTheme="majorBidi" w:hAnsiTheme="majorBidi" w:cstheme="majorBidi"/>
            <w:color w:val="auto"/>
            <w:sz w:val="20"/>
            <w:szCs w:val="20"/>
          </w:rPr>
          <w:t>4 (11) (2023) e591</w:t>
        </w:r>
      </w:hyperlink>
      <w:hyperlink r:id="rId128">
        <w:r w:rsidR="00860896" w:rsidRPr="00536B92">
          <w:rPr>
            <w:rFonts w:asciiTheme="majorBidi" w:hAnsiTheme="majorBidi" w:cstheme="majorBidi"/>
            <w:color w:val="auto"/>
            <w:sz w:val="20"/>
            <w:szCs w:val="20"/>
          </w:rPr>
          <w:t>–</w:t>
        </w:r>
      </w:hyperlink>
      <w:hyperlink r:id="rId129">
        <w:r w:rsidR="00860896" w:rsidRPr="00536B92">
          <w:rPr>
            <w:rFonts w:asciiTheme="majorBidi" w:hAnsiTheme="majorBidi" w:cstheme="majorBidi"/>
            <w:color w:val="auto"/>
            <w:sz w:val="20"/>
            <w:szCs w:val="20"/>
          </w:rPr>
          <w:t>e599</w:t>
        </w:r>
      </w:hyperlink>
      <w:hyperlink r:id="rId130">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31">
        <w:r w:rsidR="00860896" w:rsidRPr="00536B92">
          <w:rPr>
            <w:rFonts w:asciiTheme="majorBidi" w:hAnsiTheme="majorBidi" w:cstheme="majorBidi"/>
            <w:color w:val="auto"/>
            <w:sz w:val="20"/>
            <w:szCs w:val="20"/>
          </w:rPr>
          <w:t xml:space="preserve">S. Leonardo, F. </w:t>
        </w:r>
        <w:proofErr w:type="spellStart"/>
        <w:r w:rsidR="00860896" w:rsidRPr="00536B92">
          <w:rPr>
            <w:rFonts w:asciiTheme="majorBidi" w:hAnsiTheme="majorBidi" w:cstheme="majorBidi"/>
            <w:color w:val="auto"/>
            <w:sz w:val="20"/>
            <w:szCs w:val="20"/>
          </w:rPr>
          <w:t>Fregni</w:t>
        </w:r>
        <w:proofErr w:type="spellEnd"/>
        <w:r w:rsidR="00860896" w:rsidRPr="00536B92">
          <w:rPr>
            <w:rFonts w:asciiTheme="majorBidi" w:hAnsiTheme="majorBidi" w:cstheme="majorBidi"/>
            <w:color w:val="auto"/>
            <w:sz w:val="20"/>
            <w:szCs w:val="20"/>
          </w:rPr>
          <w:t xml:space="preserve">, Association of inflammation and cognition in the elderly: a </w:t>
        </w:r>
      </w:hyperlink>
      <w:hyperlink r:id="rId132">
        <w:r w:rsidR="00860896" w:rsidRPr="00536B92">
          <w:rPr>
            <w:rFonts w:asciiTheme="majorBidi" w:hAnsiTheme="majorBidi" w:cstheme="majorBidi"/>
            <w:color w:val="auto"/>
            <w:sz w:val="20"/>
            <w:szCs w:val="20"/>
          </w:rPr>
          <w:t xml:space="preserve">systematic review and meta-analysis, Front. Aging </w:t>
        </w:r>
        <w:proofErr w:type="spellStart"/>
        <w:r w:rsidR="00860896" w:rsidRPr="00536B92">
          <w:rPr>
            <w:rFonts w:asciiTheme="majorBidi" w:hAnsiTheme="majorBidi" w:cstheme="majorBidi"/>
            <w:color w:val="auto"/>
            <w:sz w:val="20"/>
            <w:szCs w:val="20"/>
          </w:rPr>
          <w:t>Neurosci</w:t>
        </w:r>
        <w:proofErr w:type="spellEnd"/>
        <w:r w:rsidR="00860896" w:rsidRPr="00536B92">
          <w:rPr>
            <w:rFonts w:asciiTheme="majorBidi" w:hAnsiTheme="majorBidi" w:cstheme="majorBidi"/>
            <w:color w:val="auto"/>
            <w:sz w:val="20"/>
            <w:szCs w:val="20"/>
          </w:rPr>
          <w:t>. 15 (2023) 1069439</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33">
        <w:r w:rsidR="00860896" w:rsidRPr="00536B92">
          <w:rPr>
            <w:rFonts w:asciiTheme="majorBidi" w:hAnsiTheme="majorBidi" w:cstheme="majorBidi"/>
            <w:color w:val="auto"/>
            <w:sz w:val="20"/>
            <w:szCs w:val="20"/>
          </w:rPr>
          <w:t>Y.-H. Liu, Y.-R. Wang, Q.-H. Wang, Y. Chen, X. Chen, Y. Li, et al., Post-infection</w:t>
        </w:r>
      </w:hyperlink>
      <w:r w:rsidR="00860896" w:rsidRPr="00536B92">
        <w:rPr>
          <w:rFonts w:asciiTheme="majorBidi" w:hAnsiTheme="majorBidi" w:cstheme="majorBidi"/>
          <w:color w:val="auto"/>
          <w:sz w:val="20"/>
          <w:szCs w:val="20"/>
        </w:rPr>
        <w:t xml:space="preserve"> </w:t>
      </w:r>
      <w:hyperlink r:id="rId134">
        <w:r w:rsidR="00860896" w:rsidRPr="00536B92">
          <w:rPr>
            <w:rFonts w:asciiTheme="majorBidi" w:hAnsiTheme="majorBidi" w:cstheme="majorBidi"/>
            <w:color w:val="auto"/>
            <w:sz w:val="20"/>
            <w:szCs w:val="20"/>
          </w:rPr>
          <w:t>cognitive impairments in a cohort of elderly patients with COVID-19, Mol.</w:t>
        </w:r>
      </w:hyperlink>
      <w:r w:rsidR="00860896" w:rsidRPr="00536B92">
        <w:rPr>
          <w:rFonts w:asciiTheme="majorBidi" w:hAnsiTheme="majorBidi" w:cstheme="majorBidi"/>
          <w:color w:val="auto"/>
          <w:sz w:val="20"/>
          <w:szCs w:val="20"/>
        </w:rPr>
        <w:t xml:space="preserve"> </w:t>
      </w:r>
    </w:p>
    <w:p w:rsidR="001F47D8" w:rsidRPr="00536B92" w:rsidRDefault="00536B92">
      <w:pPr>
        <w:spacing w:line="252" w:lineRule="auto"/>
        <w:ind w:left="331" w:right="26" w:firstLine="0"/>
        <w:rPr>
          <w:rFonts w:asciiTheme="majorBidi" w:hAnsiTheme="majorBidi" w:cstheme="majorBidi"/>
          <w:color w:val="auto"/>
          <w:sz w:val="20"/>
          <w:szCs w:val="20"/>
        </w:rPr>
      </w:pPr>
      <w:hyperlink r:id="rId135">
        <w:proofErr w:type="spellStart"/>
        <w:r w:rsidR="00860896" w:rsidRPr="00536B92">
          <w:rPr>
            <w:rFonts w:asciiTheme="majorBidi" w:hAnsiTheme="majorBidi" w:cstheme="majorBidi"/>
            <w:color w:val="auto"/>
            <w:sz w:val="20"/>
            <w:szCs w:val="20"/>
          </w:rPr>
          <w:t>Neurodegener</w:t>
        </w:r>
        <w:proofErr w:type="spellEnd"/>
        <w:r w:rsidR="00860896" w:rsidRPr="00536B92">
          <w:rPr>
            <w:rFonts w:asciiTheme="majorBidi" w:hAnsiTheme="majorBidi" w:cstheme="majorBidi"/>
            <w:color w:val="auto"/>
            <w:sz w:val="20"/>
            <w:szCs w:val="20"/>
          </w:rPr>
          <w:t>. 16 (2021) 1</w:t>
        </w:r>
      </w:hyperlink>
      <w:hyperlink r:id="rId136">
        <w:r w:rsidR="00860896" w:rsidRPr="00536B92">
          <w:rPr>
            <w:rFonts w:asciiTheme="majorBidi" w:hAnsiTheme="majorBidi" w:cstheme="majorBidi"/>
            <w:color w:val="auto"/>
            <w:sz w:val="20"/>
            <w:szCs w:val="20"/>
          </w:rPr>
          <w:t>–</w:t>
        </w:r>
      </w:hyperlink>
      <w:hyperlink r:id="rId137">
        <w:r w:rsidR="00860896" w:rsidRPr="00536B92">
          <w:rPr>
            <w:rFonts w:asciiTheme="majorBidi" w:hAnsiTheme="majorBidi" w:cstheme="majorBidi"/>
            <w:color w:val="auto"/>
            <w:sz w:val="20"/>
            <w:szCs w:val="20"/>
          </w:rPr>
          <w:t>10</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38">
        <w:r w:rsidR="00860896" w:rsidRPr="00536B92">
          <w:rPr>
            <w:rFonts w:asciiTheme="majorBidi" w:hAnsiTheme="majorBidi" w:cstheme="majorBidi"/>
            <w:color w:val="auto"/>
            <w:sz w:val="20"/>
            <w:szCs w:val="20"/>
          </w:rPr>
          <w:t xml:space="preserve">A.E. Mueller, D.L. Segal, Structured versus </w:t>
        </w:r>
        <w:proofErr w:type="spellStart"/>
        <w:r w:rsidR="00860896" w:rsidRPr="00536B92">
          <w:rPr>
            <w:rFonts w:asciiTheme="majorBidi" w:hAnsiTheme="majorBidi" w:cstheme="majorBidi"/>
            <w:color w:val="auto"/>
            <w:sz w:val="20"/>
            <w:szCs w:val="20"/>
          </w:rPr>
          <w:t>semistructured</w:t>
        </w:r>
        <w:proofErr w:type="spellEnd"/>
        <w:r w:rsidR="00860896" w:rsidRPr="00536B92">
          <w:rPr>
            <w:rFonts w:asciiTheme="majorBidi" w:hAnsiTheme="majorBidi" w:cstheme="majorBidi"/>
            <w:color w:val="auto"/>
            <w:sz w:val="20"/>
            <w:szCs w:val="20"/>
          </w:rPr>
          <w:t xml:space="preserve"> versus unstructured </w:t>
        </w:r>
      </w:hyperlink>
      <w:hyperlink r:id="rId139">
        <w:r w:rsidR="00860896" w:rsidRPr="00536B92">
          <w:rPr>
            <w:rFonts w:asciiTheme="majorBidi" w:hAnsiTheme="majorBidi" w:cstheme="majorBidi"/>
            <w:color w:val="auto"/>
            <w:sz w:val="20"/>
            <w:szCs w:val="20"/>
          </w:rPr>
          <w:t xml:space="preserve">interviews, Encyclopedia </w:t>
        </w:r>
        <w:proofErr w:type="spellStart"/>
        <w:r w:rsidR="00860896" w:rsidRPr="00536B92">
          <w:rPr>
            <w:rFonts w:asciiTheme="majorBidi" w:hAnsiTheme="majorBidi" w:cstheme="majorBidi"/>
            <w:color w:val="auto"/>
            <w:sz w:val="20"/>
            <w:szCs w:val="20"/>
          </w:rPr>
          <w:t>Clin.Psychol</w:t>
        </w:r>
        <w:proofErr w:type="spellEnd"/>
        <w:r w:rsidR="00860896" w:rsidRPr="00536B92">
          <w:rPr>
            <w:rFonts w:asciiTheme="majorBidi" w:hAnsiTheme="majorBidi" w:cstheme="majorBidi"/>
            <w:color w:val="auto"/>
            <w:sz w:val="20"/>
            <w:szCs w:val="20"/>
          </w:rPr>
          <w:t>. (2014) 1</w:t>
        </w:r>
      </w:hyperlink>
      <w:hyperlink r:id="rId140">
        <w:r w:rsidR="00860896" w:rsidRPr="00536B92">
          <w:rPr>
            <w:rFonts w:asciiTheme="majorBidi" w:hAnsiTheme="majorBidi" w:cstheme="majorBidi"/>
            <w:color w:val="auto"/>
            <w:sz w:val="20"/>
            <w:szCs w:val="20"/>
          </w:rPr>
          <w:t>–</w:t>
        </w:r>
      </w:hyperlink>
      <w:hyperlink r:id="rId141">
        <w:r w:rsidR="00860896" w:rsidRPr="00536B92">
          <w:rPr>
            <w:rFonts w:asciiTheme="majorBidi" w:hAnsiTheme="majorBidi" w:cstheme="majorBidi"/>
            <w:color w:val="auto"/>
            <w:sz w:val="20"/>
            <w:szCs w:val="20"/>
          </w:rPr>
          <w:t>7</w:t>
        </w:r>
      </w:hyperlink>
      <w:hyperlink r:id="rId142">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43">
        <w:r w:rsidR="00860896" w:rsidRPr="00536B92">
          <w:rPr>
            <w:rFonts w:asciiTheme="majorBidi" w:hAnsiTheme="majorBidi" w:cstheme="majorBidi"/>
            <w:color w:val="auto"/>
            <w:sz w:val="20"/>
            <w:szCs w:val="20"/>
          </w:rPr>
          <w:t xml:space="preserve">A.S. </w:t>
        </w:r>
        <w:proofErr w:type="spellStart"/>
        <w:r w:rsidR="00860896" w:rsidRPr="00536B92">
          <w:rPr>
            <w:rFonts w:asciiTheme="majorBidi" w:hAnsiTheme="majorBidi" w:cstheme="majorBidi"/>
            <w:color w:val="auto"/>
            <w:sz w:val="20"/>
            <w:szCs w:val="20"/>
          </w:rPr>
          <w:t>Zigmond</w:t>
        </w:r>
        <w:proofErr w:type="spellEnd"/>
        <w:r w:rsidR="00860896" w:rsidRPr="00536B92">
          <w:rPr>
            <w:rFonts w:asciiTheme="majorBidi" w:hAnsiTheme="majorBidi" w:cstheme="majorBidi"/>
            <w:color w:val="auto"/>
            <w:sz w:val="20"/>
            <w:szCs w:val="20"/>
          </w:rPr>
          <w:t xml:space="preserve">, R.P. </w:t>
        </w:r>
        <w:proofErr w:type="spellStart"/>
        <w:r w:rsidR="00860896" w:rsidRPr="00536B92">
          <w:rPr>
            <w:rFonts w:asciiTheme="majorBidi" w:hAnsiTheme="majorBidi" w:cstheme="majorBidi"/>
            <w:color w:val="auto"/>
            <w:sz w:val="20"/>
            <w:szCs w:val="20"/>
          </w:rPr>
          <w:t>Snaith</w:t>
        </w:r>
        <w:proofErr w:type="spellEnd"/>
        <w:r w:rsidR="00860896" w:rsidRPr="00536B92">
          <w:rPr>
            <w:rFonts w:asciiTheme="majorBidi" w:hAnsiTheme="majorBidi" w:cstheme="majorBidi"/>
            <w:color w:val="auto"/>
            <w:sz w:val="20"/>
            <w:szCs w:val="20"/>
          </w:rPr>
          <w:t xml:space="preserve">, The hospital anxiety and depression scale, </w:t>
        </w:r>
        <w:proofErr w:type="spellStart"/>
        <w:r w:rsidR="00860896" w:rsidRPr="00536B92">
          <w:rPr>
            <w:rFonts w:asciiTheme="majorBidi" w:hAnsiTheme="majorBidi" w:cstheme="majorBidi"/>
            <w:color w:val="auto"/>
            <w:sz w:val="20"/>
            <w:szCs w:val="20"/>
          </w:rPr>
          <w:t>Acta</w:t>
        </w:r>
        <w:proofErr w:type="spellEnd"/>
        <w:r w:rsidR="00860896" w:rsidRPr="00536B92">
          <w:rPr>
            <w:rFonts w:asciiTheme="majorBidi" w:hAnsiTheme="majorBidi" w:cstheme="majorBidi"/>
            <w:color w:val="auto"/>
            <w:sz w:val="20"/>
            <w:szCs w:val="20"/>
          </w:rPr>
          <w:t xml:space="preserve"> </w:t>
        </w:r>
      </w:hyperlink>
      <w:hyperlink r:id="rId144">
        <w:proofErr w:type="spellStart"/>
        <w:r w:rsidR="00860896" w:rsidRPr="00536B92">
          <w:rPr>
            <w:rFonts w:asciiTheme="majorBidi" w:hAnsiTheme="majorBidi" w:cstheme="majorBidi"/>
            <w:color w:val="auto"/>
            <w:sz w:val="20"/>
            <w:szCs w:val="20"/>
          </w:rPr>
          <w:t>Psychiatr</w:t>
        </w:r>
        <w:proofErr w:type="spellEnd"/>
        <w:r w:rsidR="00860896" w:rsidRPr="00536B92">
          <w:rPr>
            <w:rFonts w:asciiTheme="majorBidi" w:hAnsiTheme="majorBidi" w:cstheme="majorBidi"/>
            <w:color w:val="auto"/>
            <w:sz w:val="20"/>
            <w:szCs w:val="20"/>
          </w:rPr>
          <w:t>. Scand. 67 (6) (1983) 361</w:t>
        </w:r>
      </w:hyperlink>
      <w:hyperlink r:id="rId145">
        <w:r w:rsidR="00860896" w:rsidRPr="00536B92">
          <w:rPr>
            <w:rFonts w:asciiTheme="majorBidi" w:hAnsiTheme="majorBidi" w:cstheme="majorBidi"/>
            <w:color w:val="auto"/>
            <w:sz w:val="20"/>
            <w:szCs w:val="20"/>
          </w:rPr>
          <w:t>–</w:t>
        </w:r>
      </w:hyperlink>
      <w:hyperlink r:id="rId146">
        <w:r w:rsidR="00860896" w:rsidRPr="00536B92">
          <w:rPr>
            <w:rFonts w:asciiTheme="majorBidi" w:hAnsiTheme="majorBidi" w:cstheme="majorBidi"/>
            <w:color w:val="auto"/>
            <w:sz w:val="20"/>
            <w:szCs w:val="20"/>
          </w:rPr>
          <w:t>370</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147">
        <w:r w:rsidR="00860896" w:rsidRPr="00536B92">
          <w:rPr>
            <w:rFonts w:asciiTheme="majorBidi" w:hAnsiTheme="majorBidi" w:cstheme="majorBidi"/>
            <w:color w:val="auto"/>
            <w:sz w:val="20"/>
            <w:szCs w:val="20"/>
          </w:rPr>
          <w:t xml:space="preserve">H. </w:t>
        </w:r>
        <w:proofErr w:type="spellStart"/>
        <w:r w:rsidR="00860896" w:rsidRPr="00536B92">
          <w:rPr>
            <w:rFonts w:asciiTheme="majorBidi" w:hAnsiTheme="majorBidi" w:cstheme="majorBidi"/>
            <w:color w:val="auto"/>
            <w:sz w:val="20"/>
            <w:szCs w:val="20"/>
          </w:rPr>
          <w:t>Kaviani</w:t>
        </w:r>
        <w:proofErr w:type="spellEnd"/>
        <w:r w:rsidR="00860896" w:rsidRPr="00536B92">
          <w:rPr>
            <w:rFonts w:asciiTheme="majorBidi" w:hAnsiTheme="majorBidi" w:cstheme="majorBidi"/>
            <w:color w:val="auto"/>
            <w:sz w:val="20"/>
            <w:szCs w:val="20"/>
          </w:rPr>
          <w:t xml:space="preserve">, H. </w:t>
        </w:r>
        <w:proofErr w:type="spellStart"/>
        <w:r w:rsidR="00860896" w:rsidRPr="00536B92">
          <w:rPr>
            <w:rFonts w:asciiTheme="majorBidi" w:hAnsiTheme="majorBidi" w:cstheme="majorBidi"/>
            <w:color w:val="auto"/>
            <w:sz w:val="20"/>
            <w:szCs w:val="20"/>
          </w:rPr>
          <w:t>Seyfourian</w:t>
        </w:r>
        <w:proofErr w:type="spellEnd"/>
        <w:r w:rsidR="00860896" w:rsidRPr="00536B92">
          <w:rPr>
            <w:rFonts w:asciiTheme="majorBidi" w:hAnsiTheme="majorBidi" w:cstheme="majorBidi"/>
            <w:color w:val="auto"/>
            <w:sz w:val="20"/>
            <w:szCs w:val="20"/>
          </w:rPr>
          <w:t xml:space="preserve">, V. </w:t>
        </w:r>
        <w:proofErr w:type="spellStart"/>
        <w:r w:rsidR="00860896" w:rsidRPr="00536B92">
          <w:rPr>
            <w:rFonts w:asciiTheme="majorBidi" w:hAnsiTheme="majorBidi" w:cstheme="majorBidi"/>
            <w:color w:val="auto"/>
            <w:sz w:val="20"/>
            <w:szCs w:val="20"/>
          </w:rPr>
          <w:t>Sharifi</w:t>
        </w:r>
        <w:proofErr w:type="spellEnd"/>
        <w:r w:rsidR="00860896" w:rsidRPr="00536B92">
          <w:rPr>
            <w:rFonts w:asciiTheme="majorBidi" w:hAnsiTheme="majorBidi" w:cstheme="majorBidi"/>
            <w:color w:val="auto"/>
            <w:sz w:val="20"/>
            <w:szCs w:val="20"/>
          </w:rPr>
          <w:t xml:space="preserve">, N. </w:t>
        </w:r>
        <w:proofErr w:type="spellStart"/>
        <w:r w:rsidR="00860896" w:rsidRPr="00536B92">
          <w:rPr>
            <w:rFonts w:asciiTheme="majorBidi" w:hAnsiTheme="majorBidi" w:cstheme="majorBidi"/>
            <w:color w:val="auto"/>
            <w:sz w:val="20"/>
            <w:szCs w:val="20"/>
          </w:rPr>
          <w:t>Ebrahimkhani</w:t>
        </w:r>
        <w:proofErr w:type="spellEnd"/>
        <w:r w:rsidR="00860896" w:rsidRPr="00536B92">
          <w:rPr>
            <w:rFonts w:asciiTheme="majorBidi" w:hAnsiTheme="majorBidi" w:cstheme="majorBidi"/>
            <w:color w:val="auto"/>
            <w:sz w:val="20"/>
            <w:szCs w:val="20"/>
          </w:rPr>
          <w:t>, Reliability and validity of</w:t>
        </w:r>
      </w:hyperlink>
      <w:r w:rsidR="00860896" w:rsidRPr="00536B92">
        <w:rPr>
          <w:rFonts w:asciiTheme="majorBidi" w:hAnsiTheme="majorBidi" w:cstheme="majorBidi"/>
          <w:color w:val="auto"/>
          <w:sz w:val="20"/>
          <w:szCs w:val="20"/>
        </w:rPr>
        <w:t xml:space="preserve"> </w:t>
      </w:r>
      <w:hyperlink r:id="rId148">
        <w:r w:rsidR="00860896" w:rsidRPr="00536B92">
          <w:rPr>
            <w:rFonts w:asciiTheme="majorBidi" w:hAnsiTheme="majorBidi" w:cstheme="majorBidi"/>
            <w:color w:val="auto"/>
            <w:sz w:val="20"/>
            <w:szCs w:val="20"/>
          </w:rPr>
          <w:t>anxiety and depression hospital scales (HADS): Iranian patients with anxiety and</w:t>
        </w:r>
      </w:hyperlink>
      <w:r w:rsidR="00860896" w:rsidRPr="00536B92">
        <w:rPr>
          <w:rFonts w:asciiTheme="majorBidi" w:hAnsiTheme="majorBidi" w:cstheme="majorBidi"/>
          <w:color w:val="auto"/>
          <w:sz w:val="20"/>
          <w:szCs w:val="20"/>
        </w:rPr>
        <w:t xml:space="preserve"> </w:t>
      </w:r>
      <w:hyperlink r:id="rId149">
        <w:r w:rsidR="00860896" w:rsidRPr="00536B92">
          <w:rPr>
            <w:rFonts w:asciiTheme="majorBidi" w:hAnsiTheme="majorBidi" w:cstheme="majorBidi"/>
            <w:color w:val="auto"/>
            <w:sz w:val="20"/>
            <w:szCs w:val="20"/>
          </w:rPr>
          <w:t>depression disorders, Tehran Univ. Med. J. 67 (5) (2009) 379</w:t>
        </w:r>
      </w:hyperlink>
      <w:hyperlink r:id="rId150">
        <w:r w:rsidR="00860896" w:rsidRPr="00536B92">
          <w:rPr>
            <w:rFonts w:asciiTheme="majorBidi" w:hAnsiTheme="majorBidi" w:cstheme="majorBidi"/>
            <w:color w:val="auto"/>
            <w:sz w:val="20"/>
            <w:szCs w:val="20"/>
          </w:rPr>
          <w:t>–</w:t>
        </w:r>
      </w:hyperlink>
      <w:hyperlink r:id="rId151">
        <w:r w:rsidR="00860896" w:rsidRPr="00536B92">
          <w:rPr>
            <w:rFonts w:asciiTheme="majorBidi" w:hAnsiTheme="majorBidi" w:cstheme="majorBidi"/>
            <w:color w:val="auto"/>
            <w:sz w:val="20"/>
            <w:szCs w:val="20"/>
          </w:rPr>
          <w:t>385</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52">
        <w:r w:rsidR="00860896" w:rsidRPr="00536B92">
          <w:rPr>
            <w:rFonts w:asciiTheme="majorBidi" w:hAnsiTheme="majorBidi" w:cstheme="majorBidi"/>
            <w:color w:val="auto"/>
            <w:sz w:val="20"/>
            <w:szCs w:val="20"/>
          </w:rPr>
          <w:t xml:space="preserve">H. </w:t>
        </w:r>
        <w:proofErr w:type="spellStart"/>
        <w:r w:rsidR="00860896" w:rsidRPr="00536B92">
          <w:rPr>
            <w:rFonts w:asciiTheme="majorBidi" w:hAnsiTheme="majorBidi" w:cstheme="majorBidi"/>
            <w:color w:val="auto"/>
            <w:sz w:val="20"/>
            <w:szCs w:val="20"/>
          </w:rPr>
          <w:t>Brodaty</w:t>
        </w:r>
        <w:proofErr w:type="spellEnd"/>
        <w:r w:rsidR="00860896" w:rsidRPr="00536B92">
          <w:rPr>
            <w:rFonts w:asciiTheme="majorBidi" w:hAnsiTheme="majorBidi" w:cstheme="majorBidi"/>
            <w:color w:val="auto"/>
            <w:sz w:val="20"/>
            <w:szCs w:val="20"/>
          </w:rPr>
          <w:t xml:space="preserve">, D. Pond, N.M. Kemp, G. </w:t>
        </w:r>
        <w:proofErr w:type="spellStart"/>
        <w:r w:rsidR="00860896" w:rsidRPr="00536B92">
          <w:rPr>
            <w:rFonts w:asciiTheme="majorBidi" w:hAnsiTheme="majorBidi" w:cstheme="majorBidi"/>
            <w:color w:val="auto"/>
            <w:sz w:val="20"/>
            <w:szCs w:val="20"/>
          </w:rPr>
          <w:t>Luscombe</w:t>
        </w:r>
        <w:proofErr w:type="spellEnd"/>
        <w:r w:rsidR="00860896" w:rsidRPr="00536B92">
          <w:rPr>
            <w:rFonts w:asciiTheme="majorBidi" w:hAnsiTheme="majorBidi" w:cstheme="majorBidi"/>
            <w:color w:val="auto"/>
            <w:sz w:val="20"/>
            <w:szCs w:val="20"/>
          </w:rPr>
          <w:t xml:space="preserve">, L. Harding, K. Berman, et al., The </w:t>
        </w:r>
      </w:hyperlink>
      <w:hyperlink r:id="rId153">
        <w:r w:rsidR="00860896" w:rsidRPr="00536B92">
          <w:rPr>
            <w:rFonts w:asciiTheme="majorBidi" w:hAnsiTheme="majorBidi" w:cstheme="majorBidi"/>
            <w:color w:val="auto"/>
            <w:sz w:val="20"/>
            <w:szCs w:val="20"/>
          </w:rPr>
          <w:t>GPCOG: a new screening test for dementia designed for general practice, J. Am.</w:t>
        </w:r>
      </w:hyperlink>
      <w:r w:rsidR="00860896" w:rsidRPr="00536B92">
        <w:rPr>
          <w:rFonts w:asciiTheme="majorBidi" w:hAnsiTheme="majorBidi" w:cstheme="majorBidi"/>
          <w:color w:val="auto"/>
          <w:sz w:val="20"/>
          <w:szCs w:val="20"/>
        </w:rPr>
        <w:t xml:space="preserve"> </w:t>
      </w:r>
    </w:p>
    <w:p w:rsidR="001F47D8" w:rsidRPr="00536B92" w:rsidRDefault="00536B92">
      <w:pPr>
        <w:spacing w:line="252" w:lineRule="auto"/>
        <w:ind w:left="331" w:right="26" w:firstLine="0"/>
        <w:rPr>
          <w:rFonts w:asciiTheme="majorBidi" w:hAnsiTheme="majorBidi" w:cstheme="majorBidi"/>
          <w:color w:val="auto"/>
          <w:sz w:val="20"/>
          <w:szCs w:val="20"/>
        </w:rPr>
      </w:pPr>
      <w:hyperlink r:id="rId154">
        <w:proofErr w:type="spellStart"/>
        <w:r w:rsidR="00860896" w:rsidRPr="00536B92">
          <w:rPr>
            <w:rFonts w:asciiTheme="majorBidi" w:hAnsiTheme="majorBidi" w:cstheme="majorBidi"/>
            <w:color w:val="auto"/>
            <w:sz w:val="20"/>
            <w:szCs w:val="20"/>
          </w:rPr>
          <w:t>Geriatr</w:t>
        </w:r>
        <w:proofErr w:type="spellEnd"/>
        <w:r w:rsidR="00860896" w:rsidRPr="00536B92">
          <w:rPr>
            <w:rFonts w:asciiTheme="majorBidi" w:hAnsiTheme="majorBidi" w:cstheme="majorBidi"/>
            <w:color w:val="auto"/>
            <w:sz w:val="20"/>
            <w:szCs w:val="20"/>
          </w:rPr>
          <w:t>. Soc. 50 (3) (2002) 530</w:t>
        </w:r>
      </w:hyperlink>
      <w:hyperlink r:id="rId155">
        <w:r w:rsidR="00860896" w:rsidRPr="00536B92">
          <w:rPr>
            <w:rFonts w:asciiTheme="majorBidi" w:hAnsiTheme="majorBidi" w:cstheme="majorBidi"/>
            <w:color w:val="auto"/>
            <w:sz w:val="20"/>
            <w:szCs w:val="20"/>
          </w:rPr>
          <w:t>–</w:t>
        </w:r>
      </w:hyperlink>
      <w:hyperlink r:id="rId156">
        <w:r w:rsidR="00860896" w:rsidRPr="00536B92">
          <w:rPr>
            <w:rFonts w:asciiTheme="majorBidi" w:hAnsiTheme="majorBidi" w:cstheme="majorBidi"/>
            <w:color w:val="auto"/>
            <w:sz w:val="20"/>
            <w:szCs w:val="20"/>
          </w:rPr>
          <w:t>534</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57">
        <w:r w:rsidR="00860896" w:rsidRPr="00536B92">
          <w:rPr>
            <w:rFonts w:asciiTheme="majorBidi" w:hAnsiTheme="majorBidi" w:cstheme="majorBidi"/>
            <w:color w:val="auto"/>
            <w:sz w:val="20"/>
            <w:szCs w:val="20"/>
          </w:rPr>
          <w:t xml:space="preserve">A. </w:t>
        </w:r>
        <w:proofErr w:type="spellStart"/>
        <w:r w:rsidR="00860896" w:rsidRPr="00536B92">
          <w:rPr>
            <w:rFonts w:asciiTheme="majorBidi" w:hAnsiTheme="majorBidi" w:cstheme="majorBidi"/>
            <w:color w:val="auto"/>
            <w:sz w:val="20"/>
            <w:szCs w:val="20"/>
          </w:rPr>
          <w:t>Larner</w:t>
        </w:r>
        <w:proofErr w:type="spellEnd"/>
        <w:r w:rsidR="00860896" w:rsidRPr="00536B92">
          <w:rPr>
            <w:rFonts w:asciiTheme="majorBidi" w:hAnsiTheme="majorBidi" w:cstheme="majorBidi"/>
            <w:color w:val="auto"/>
            <w:sz w:val="20"/>
            <w:szCs w:val="20"/>
          </w:rPr>
          <w:t xml:space="preserve">, P. </w:t>
        </w:r>
        <w:proofErr w:type="spellStart"/>
        <w:r w:rsidR="00860896" w:rsidRPr="00536B92">
          <w:rPr>
            <w:rFonts w:asciiTheme="majorBidi" w:hAnsiTheme="majorBidi" w:cstheme="majorBidi"/>
            <w:color w:val="auto"/>
            <w:sz w:val="20"/>
            <w:szCs w:val="20"/>
          </w:rPr>
          <w:t>Julayanont</w:t>
        </w:r>
        <w:proofErr w:type="spellEnd"/>
        <w:r w:rsidR="00860896" w:rsidRPr="00536B92">
          <w:rPr>
            <w:rFonts w:asciiTheme="majorBidi" w:hAnsiTheme="majorBidi" w:cstheme="majorBidi"/>
            <w:color w:val="auto"/>
            <w:sz w:val="20"/>
            <w:szCs w:val="20"/>
          </w:rPr>
          <w:t xml:space="preserve">, N. Phillips, H. </w:t>
        </w:r>
        <w:proofErr w:type="spellStart"/>
        <w:r w:rsidR="00860896" w:rsidRPr="00536B92">
          <w:rPr>
            <w:rFonts w:asciiTheme="majorBidi" w:hAnsiTheme="majorBidi" w:cstheme="majorBidi"/>
            <w:color w:val="auto"/>
            <w:sz w:val="20"/>
            <w:szCs w:val="20"/>
          </w:rPr>
          <w:t>Chertkow</w:t>
        </w:r>
        <w:proofErr w:type="spellEnd"/>
        <w:r w:rsidR="00860896" w:rsidRPr="00536B92">
          <w:rPr>
            <w:rFonts w:asciiTheme="majorBidi" w:hAnsiTheme="majorBidi" w:cstheme="majorBidi"/>
            <w:color w:val="auto"/>
            <w:sz w:val="20"/>
            <w:szCs w:val="20"/>
          </w:rPr>
          <w:t xml:space="preserve">, Z. </w:t>
        </w:r>
        <w:proofErr w:type="spellStart"/>
        <w:r w:rsidR="00860896" w:rsidRPr="00536B92">
          <w:rPr>
            <w:rFonts w:asciiTheme="majorBidi" w:hAnsiTheme="majorBidi" w:cstheme="majorBidi"/>
            <w:color w:val="auto"/>
            <w:sz w:val="20"/>
            <w:szCs w:val="20"/>
          </w:rPr>
          <w:t>Nasreddine</w:t>
        </w:r>
        <w:proofErr w:type="spellEnd"/>
        <w:r w:rsidR="00860896" w:rsidRPr="00536B92">
          <w:rPr>
            <w:rFonts w:asciiTheme="majorBidi" w:hAnsiTheme="majorBidi" w:cstheme="majorBidi"/>
            <w:color w:val="auto"/>
            <w:sz w:val="20"/>
            <w:szCs w:val="20"/>
          </w:rPr>
          <w:t>, Cognitive</w:t>
        </w:r>
      </w:hyperlink>
      <w:r w:rsidR="00860896" w:rsidRPr="00536B92">
        <w:rPr>
          <w:rFonts w:asciiTheme="majorBidi" w:hAnsiTheme="majorBidi" w:cstheme="majorBidi"/>
          <w:color w:val="auto"/>
          <w:sz w:val="20"/>
          <w:szCs w:val="20"/>
        </w:rPr>
        <w:t xml:space="preserve"> </w:t>
      </w:r>
      <w:hyperlink r:id="rId158">
        <w:r w:rsidR="00860896" w:rsidRPr="00536B92">
          <w:rPr>
            <w:rFonts w:asciiTheme="majorBidi" w:hAnsiTheme="majorBidi" w:cstheme="majorBidi"/>
            <w:color w:val="auto"/>
            <w:sz w:val="20"/>
            <w:szCs w:val="20"/>
          </w:rPr>
          <w:t>Screening Instruments, Springer, 2017</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59">
        <w:r w:rsidR="00860896" w:rsidRPr="00536B92">
          <w:rPr>
            <w:rFonts w:asciiTheme="majorBidi" w:hAnsiTheme="majorBidi" w:cstheme="majorBidi"/>
            <w:color w:val="auto"/>
            <w:sz w:val="20"/>
            <w:szCs w:val="20"/>
          </w:rPr>
          <w:t xml:space="preserve">V. </w:t>
        </w:r>
        <w:proofErr w:type="spellStart"/>
        <w:r w:rsidR="00860896" w:rsidRPr="00536B92">
          <w:rPr>
            <w:rFonts w:asciiTheme="majorBidi" w:hAnsiTheme="majorBidi" w:cstheme="majorBidi"/>
            <w:color w:val="auto"/>
            <w:sz w:val="20"/>
            <w:szCs w:val="20"/>
          </w:rPr>
          <w:t>Rashedi</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Foroughan</w:t>
        </w:r>
        <w:proofErr w:type="spellEnd"/>
        <w:r w:rsidR="00860896" w:rsidRPr="00536B92">
          <w:rPr>
            <w:rFonts w:asciiTheme="majorBidi" w:hAnsiTheme="majorBidi" w:cstheme="majorBidi"/>
            <w:color w:val="auto"/>
            <w:sz w:val="20"/>
            <w:szCs w:val="20"/>
          </w:rPr>
          <w:t xml:space="preserve">, H. </w:t>
        </w:r>
        <w:proofErr w:type="spellStart"/>
        <w:r w:rsidR="00860896" w:rsidRPr="00536B92">
          <w:rPr>
            <w:rFonts w:asciiTheme="majorBidi" w:hAnsiTheme="majorBidi" w:cstheme="majorBidi"/>
            <w:color w:val="auto"/>
            <w:sz w:val="20"/>
            <w:szCs w:val="20"/>
          </w:rPr>
          <w:t>Nazari</w:t>
        </w:r>
        <w:proofErr w:type="spellEnd"/>
        <w:r w:rsidR="00860896" w:rsidRPr="00536B92">
          <w:rPr>
            <w:rFonts w:asciiTheme="majorBidi" w:hAnsiTheme="majorBidi" w:cstheme="majorBidi"/>
            <w:color w:val="auto"/>
            <w:sz w:val="20"/>
            <w:szCs w:val="20"/>
          </w:rPr>
          <w:t xml:space="preserve">, K. </w:t>
        </w:r>
        <w:proofErr w:type="spellStart"/>
        <w:r w:rsidR="00860896" w:rsidRPr="00536B92">
          <w:rPr>
            <w:rFonts w:asciiTheme="majorBidi" w:hAnsiTheme="majorBidi" w:cstheme="majorBidi"/>
            <w:color w:val="auto"/>
            <w:sz w:val="20"/>
            <w:szCs w:val="20"/>
          </w:rPr>
          <w:t>Seeher</w:t>
        </w:r>
        <w:proofErr w:type="spellEnd"/>
        <w:r w:rsidR="00860896" w:rsidRPr="00536B92">
          <w:rPr>
            <w:rFonts w:asciiTheme="majorBidi" w:hAnsiTheme="majorBidi" w:cstheme="majorBidi"/>
            <w:color w:val="auto"/>
            <w:sz w:val="20"/>
            <w:szCs w:val="20"/>
          </w:rPr>
          <w:t xml:space="preserve">, H. </w:t>
        </w:r>
        <w:proofErr w:type="spellStart"/>
        <w:r w:rsidR="00860896" w:rsidRPr="00536B92">
          <w:rPr>
            <w:rFonts w:asciiTheme="majorBidi" w:hAnsiTheme="majorBidi" w:cstheme="majorBidi"/>
            <w:color w:val="auto"/>
            <w:sz w:val="20"/>
            <w:szCs w:val="20"/>
          </w:rPr>
          <w:t>Brodaty</w:t>
        </w:r>
        <w:proofErr w:type="spellEnd"/>
        <w:r w:rsidR="00860896" w:rsidRPr="00536B92">
          <w:rPr>
            <w:rFonts w:asciiTheme="majorBidi" w:hAnsiTheme="majorBidi" w:cstheme="majorBidi"/>
            <w:color w:val="auto"/>
            <w:sz w:val="20"/>
            <w:szCs w:val="20"/>
          </w:rPr>
          <w:t>, Validity and reliability</w:t>
        </w:r>
      </w:hyperlink>
      <w:r w:rsidR="00860896" w:rsidRPr="00536B92">
        <w:rPr>
          <w:rFonts w:asciiTheme="majorBidi" w:hAnsiTheme="majorBidi" w:cstheme="majorBidi"/>
          <w:color w:val="auto"/>
          <w:sz w:val="20"/>
          <w:szCs w:val="20"/>
        </w:rPr>
        <w:t xml:space="preserve"> </w:t>
      </w:r>
      <w:hyperlink r:id="rId160">
        <w:r w:rsidR="00860896" w:rsidRPr="00536B92">
          <w:rPr>
            <w:rFonts w:asciiTheme="majorBidi" w:hAnsiTheme="majorBidi" w:cstheme="majorBidi"/>
            <w:color w:val="auto"/>
            <w:sz w:val="20"/>
            <w:szCs w:val="20"/>
          </w:rPr>
          <w:t>of the Persian version of general practitioner assessment of cognition (P-GPCOG),</w:t>
        </w:r>
      </w:hyperlink>
      <w:r w:rsidR="00860896" w:rsidRPr="00536B92">
        <w:rPr>
          <w:rFonts w:asciiTheme="majorBidi" w:hAnsiTheme="majorBidi" w:cstheme="majorBidi"/>
          <w:color w:val="auto"/>
          <w:sz w:val="20"/>
          <w:szCs w:val="20"/>
        </w:rPr>
        <w:t xml:space="preserve"> </w:t>
      </w:r>
      <w:hyperlink r:id="rId161">
        <w:r w:rsidR="00860896" w:rsidRPr="00536B92">
          <w:rPr>
            <w:rFonts w:asciiTheme="majorBidi" w:hAnsiTheme="majorBidi" w:cstheme="majorBidi"/>
            <w:color w:val="auto"/>
            <w:sz w:val="20"/>
            <w:szCs w:val="20"/>
          </w:rPr>
          <w:t xml:space="preserve">Aging </w:t>
        </w:r>
        <w:proofErr w:type="spellStart"/>
        <w:r w:rsidR="00860896" w:rsidRPr="00536B92">
          <w:rPr>
            <w:rFonts w:asciiTheme="majorBidi" w:hAnsiTheme="majorBidi" w:cstheme="majorBidi"/>
            <w:color w:val="auto"/>
            <w:sz w:val="20"/>
            <w:szCs w:val="20"/>
          </w:rPr>
          <w:t>Ment</w:t>
        </w:r>
        <w:proofErr w:type="spellEnd"/>
        <w:r w:rsidR="00860896" w:rsidRPr="00536B92">
          <w:rPr>
            <w:rFonts w:asciiTheme="majorBidi" w:hAnsiTheme="majorBidi" w:cstheme="majorBidi"/>
            <w:color w:val="auto"/>
            <w:sz w:val="20"/>
            <w:szCs w:val="20"/>
          </w:rPr>
          <w:t>. Health 23 (8) (2019) 961</w:t>
        </w:r>
      </w:hyperlink>
      <w:hyperlink r:id="rId162">
        <w:r w:rsidR="00860896" w:rsidRPr="00536B92">
          <w:rPr>
            <w:rFonts w:asciiTheme="majorBidi" w:hAnsiTheme="majorBidi" w:cstheme="majorBidi"/>
            <w:color w:val="auto"/>
            <w:sz w:val="20"/>
            <w:szCs w:val="20"/>
          </w:rPr>
          <w:t>–</w:t>
        </w:r>
      </w:hyperlink>
      <w:hyperlink r:id="rId163">
        <w:r w:rsidR="00860896" w:rsidRPr="00536B92">
          <w:rPr>
            <w:rFonts w:asciiTheme="majorBidi" w:hAnsiTheme="majorBidi" w:cstheme="majorBidi"/>
            <w:color w:val="auto"/>
            <w:sz w:val="20"/>
            <w:szCs w:val="20"/>
          </w:rPr>
          <w:t>965</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164">
        <w:r w:rsidR="00860896" w:rsidRPr="00536B92">
          <w:rPr>
            <w:rFonts w:asciiTheme="majorBidi" w:hAnsiTheme="majorBidi" w:cstheme="majorBidi"/>
            <w:color w:val="auto"/>
            <w:sz w:val="20"/>
            <w:szCs w:val="20"/>
          </w:rPr>
          <w:t xml:space="preserve">C. Loy, A.R. Teixeira-Pinto, H. </w:t>
        </w:r>
        <w:proofErr w:type="spellStart"/>
        <w:r w:rsidR="00860896" w:rsidRPr="00536B92">
          <w:rPr>
            <w:rFonts w:asciiTheme="majorBidi" w:hAnsiTheme="majorBidi" w:cstheme="majorBidi"/>
            <w:color w:val="auto"/>
            <w:sz w:val="20"/>
            <w:szCs w:val="20"/>
          </w:rPr>
          <w:t>Brodaty</w:t>
        </w:r>
        <w:proofErr w:type="spellEnd"/>
        <w:r w:rsidR="00860896" w:rsidRPr="00536B92">
          <w:rPr>
            <w:rFonts w:asciiTheme="majorBidi" w:hAnsiTheme="majorBidi" w:cstheme="majorBidi"/>
            <w:color w:val="auto"/>
            <w:sz w:val="20"/>
            <w:szCs w:val="20"/>
          </w:rPr>
          <w:t xml:space="preserve">, M. Connors, J. Gunn, K. Mate, et al., </w:t>
        </w:r>
      </w:hyperlink>
      <w:hyperlink r:id="rId165">
        <w:r w:rsidR="00860896" w:rsidRPr="00536B92">
          <w:rPr>
            <w:rFonts w:asciiTheme="majorBidi" w:hAnsiTheme="majorBidi" w:cstheme="majorBidi"/>
            <w:color w:val="auto"/>
            <w:sz w:val="20"/>
            <w:szCs w:val="20"/>
          </w:rPr>
          <w:t xml:space="preserve">Screening for Dementia in Primary Care: A Comparison of the GPCOG and the </w:t>
        </w:r>
      </w:hyperlink>
      <w:hyperlink r:id="rId166">
        <w:r w:rsidR="00860896" w:rsidRPr="00536B92">
          <w:rPr>
            <w:rFonts w:asciiTheme="majorBidi" w:hAnsiTheme="majorBidi" w:cstheme="majorBidi"/>
            <w:color w:val="auto"/>
            <w:sz w:val="20"/>
            <w:szCs w:val="20"/>
          </w:rPr>
          <w:t>MMSE, 2016</w:t>
        </w:r>
      </w:hyperlink>
      <w:hyperlink r:id="rId167">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68">
        <w:r w:rsidR="00860896" w:rsidRPr="00536B92">
          <w:rPr>
            <w:rFonts w:asciiTheme="majorBidi" w:hAnsiTheme="majorBidi" w:cstheme="majorBidi"/>
            <w:color w:val="auto"/>
            <w:sz w:val="20"/>
            <w:szCs w:val="20"/>
          </w:rPr>
          <w:t xml:space="preserve">T. </w:t>
        </w:r>
        <w:proofErr w:type="spellStart"/>
        <w:r w:rsidR="00860896" w:rsidRPr="00536B92">
          <w:rPr>
            <w:rFonts w:asciiTheme="majorBidi" w:hAnsiTheme="majorBidi" w:cstheme="majorBidi"/>
            <w:color w:val="auto"/>
            <w:sz w:val="20"/>
            <w:szCs w:val="20"/>
          </w:rPr>
          <w:t>Ionova</w:t>
        </w:r>
        <w:proofErr w:type="spellEnd"/>
        <w:r w:rsidR="00860896" w:rsidRPr="00536B92">
          <w:rPr>
            <w:rFonts w:asciiTheme="majorBidi" w:hAnsiTheme="majorBidi" w:cstheme="majorBidi"/>
            <w:color w:val="auto"/>
            <w:sz w:val="20"/>
            <w:szCs w:val="20"/>
          </w:rPr>
          <w:t xml:space="preserve">, E. </w:t>
        </w:r>
        <w:proofErr w:type="spellStart"/>
        <w:r w:rsidR="00860896" w:rsidRPr="00536B92">
          <w:rPr>
            <w:rFonts w:asciiTheme="majorBidi" w:hAnsiTheme="majorBidi" w:cstheme="majorBidi"/>
            <w:color w:val="auto"/>
            <w:sz w:val="20"/>
            <w:szCs w:val="20"/>
          </w:rPr>
          <w:t>Frolova</w:t>
        </w:r>
        <w:proofErr w:type="spellEnd"/>
        <w:r w:rsidR="00860896" w:rsidRPr="00536B92">
          <w:rPr>
            <w:rFonts w:asciiTheme="majorBidi" w:hAnsiTheme="majorBidi" w:cstheme="majorBidi"/>
            <w:color w:val="auto"/>
            <w:sz w:val="20"/>
            <w:szCs w:val="20"/>
          </w:rPr>
          <w:t xml:space="preserve">, K. </w:t>
        </w:r>
        <w:proofErr w:type="spellStart"/>
        <w:r w:rsidR="00860896" w:rsidRPr="00536B92">
          <w:rPr>
            <w:rFonts w:asciiTheme="majorBidi" w:hAnsiTheme="majorBidi" w:cstheme="majorBidi"/>
            <w:color w:val="auto"/>
            <w:sz w:val="20"/>
            <w:szCs w:val="20"/>
          </w:rPr>
          <w:t>Ovakimyan</w:t>
        </w:r>
        <w:proofErr w:type="spellEnd"/>
        <w:r w:rsidR="00860896" w:rsidRPr="00536B92">
          <w:rPr>
            <w:rFonts w:asciiTheme="majorBidi" w:hAnsiTheme="majorBidi" w:cstheme="majorBidi"/>
            <w:color w:val="auto"/>
            <w:sz w:val="20"/>
            <w:szCs w:val="20"/>
          </w:rPr>
          <w:t xml:space="preserve">, E. </w:t>
        </w:r>
        <w:proofErr w:type="spellStart"/>
        <w:r w:rsidR="00860896" w:rsidRPr="00536B92">
          <w:rPr>
            <w:rFonts w:asciiTheme="majorBidi" w:hAnsiTheme="majorBidi" w:cstheme="majorBidi"/>
            <w:color w:val="auto"/>
            <w:sz w:val="20"/>
            <w:szCs w:val="20"/>
          </w:rPr>
          <w:t>Mkhitaryan</w:t>
        </w:r>
        <w:proofErr w:type="spellEnd"/>
        <w:r w:rsidR="00860896" w:rsidRPr="00536B92">
          <w:rPr>
            <w:rFonts w:asciiTheme="majorBidi" w:hAnsiTheme="majorBidi" w:cstheme="majorBidi"/>
            <w:color w:val="auto"/>
            <w:sz w:val="20"/>
            <w:szCs w:val="20"/>
          </w:rPr>
          <w:t xml:space="preserve">, O. </w:t>
        </w:r>
        <w:proofErr w:type="spellStart"/>
        <w:r w:rsidR="00860896" w:rsidRPr="00536B92">
          <w:rPr>
            <w:rFonts w:asciiTheme="majorBidi" w:hAnsiTheme="majorBidi" w:cstheme="majorBidi"/>
            <w:color w:val="auto"/>
            <w:sz w:val="20"/>
            <w:szCs w:val="20"/>
          </w:rPr>
          <w:t>Tkacheva</w:t>
        </w:r>
        <w:proofErr w:type="spellEnd"/>
        <w:r w:rsidR="00860896" w:rsidRPr="00536B92">
          <w:rPr>
            <w:rFonts w:asciiTheme="majorBidi" w:hAnsiTheme="majorBidi" w:cstheme="majorBidi"/>
            <w:color w:val="auto"/>
            <w:sz w:val="20"/>
            <w:szCs w:val="20"/>
          </w:rPr>
          <w:t xml:space="preserve">, D. </w:t>
        </w:r>
        <w:proofErr w:type="spellStart"/>
        <w:r w:rsidR="00860896" w:rsidRPr="00536B92">
          <w:rPr>
            <w:rFonts w:asciiTheme="majorBidi" w:hAnsiTheme="majorBidi" w:cstheme="majorBidi"/>
            <w:color w:val="auto"/>
            <w:sz w:val="20"/>
            <w:szCs w:val="20"/>
          </w:rPr>
          <w:t>Logunov</w:t>
        </w:r>
        <w:proofErr w:type="spellEnd"/>
        <w:r w:rsidR="00860896" w:rsidRPr="00536B92">
          <w:rPr>
            <w:rFonts w:asciiTheme="majorBidi" w:hAnsiTheme="majorBidi" w:cstheme="majorBidi"/>
            <w:color w:val="auto"/>
            <w:sz w:val="20"/>
            <w:szCs w:val="20"/>
          </w:rPr>
          <w:t>, et</w:t>
        </w:r>
      </w:hyperlink>
      <w:r w:rsidR="00860896" w:rsidRPr="00536B92">
        <w:rPr>
          <w:rFonts w:asciiTheme="majorBidi" w:hAnsiTheme="majorBidi" w:cstheme="majorBidi"/>
          <w:color w:val="auto"/>
          <w:sz w:val="20"/>
          <w:szCs w:val="20"/>
        </w:rPr>
        <w:t xml:space="preserve"> </w:t>
      </w:r>
      <w:hyperlink r:id="rId169">
        <w:r w:rsidR="00860896" w:rsidRPr="00536B92">
          <w:rPr>
            <w:rFonts w:asciiTheme="majorBidi" w:hAnsiTheme="majorBidi" w:cstheme="majorBidi"/>
            <w:color w:val="auto"/>
            <w:sz w:val="20"/>
            <w:szCs w:val="20"/>
          </w:rPr>
          <w:t>al., The use of the Mini-Cog, MMSE, and GPCOG tests in domestic clinical practice</w:t>
        </w:r>
      </w:hyperlink>
      <w:r w:rsidR="00860896" w:rsidRPr="00536B92">
        <w:rPr>
          <w:rFonts w:asciiTheme="majorBidi" w:hAnsiTheme="majorBidi" w:cstheme="majorBidi"/>
          <w:color w:val="auto"/>
          <w:sz w:val="20"/>
          <w:szCs w:val="20"/>
        </w:rPr>
        <w:t xml:space="preserve"> </w:t>
      </w:r>
      <w:hyperlink r:id="rId170">
        <w:r w:rsidR="00860896" w:rsidRPr="00536B92">
          <w:rPr>
            <w:rFonts w:asciiTheme="majorBidi" w:hAnsiTheme="majorBidi" w:cstheme="majorBidi"/>
            <w:color w:val="auto"/>
            <w:sz w:val="20"/>
            <w:szCs w:val="20"/>
          </w:rPr>
          <w:t>for the evaluation of cognitive disorders in elderly and senile patients: the results of</w:t>
        </w:r>
      </w:hyperlink>
      <w:r w:rsidR="00860896" w:rsidRPr="00536B92">
        <w:rPr>
          <w:rFonts w:asciiTheme="majorBidi" w:hAnsiTheme="majorBidi" w:cstheme="majorBidi"/>
          <w:color w:val="auto"/>
          <w:sz w:val="20"/>
          <w:szCs w:val="20"/>
        </w:rPr>
        <w:t xml:space="preserve"> </w:t>
      </w:r>
      <w:hyperlink r:id="rId171">
        <w:r w:rsidR="00860896" w:rsidRPr="00536B92">
          <w:rPr>
            <w:rFonts w:asciiTheme="majorBidi" w:hAnsiTheme="majorBidi" w:cstheme="majorBidi"/>
            <w:color w:val="auto"/>
            <w:sz w:val="20"/>
            <w:szCs w:val="20"/>
          </w:rPr>
          <w:t>a survey of experts</w:t>
        </w:r>
      </w:hyperlink>
      <w:hyperlink r:id="rId172">
        <w:r w:rsidR="00860896" w:rsidRPr="00536B92">
          <w:rPr>
            <w:rFonts w:asciiTheme="majorBidi" w:hAnsiTheme="majorBidi" w:cstheme="majorBidi"/>
            <w:color w:val="auto"/>
            <w:sz w:val="20"/>
            <w:szCs w:val="20"/>
          </w:rPr>
          <w:t>’</w:t>
        </w:r>
      </w:hyperlink>
      <w:hyperlink r:id="rId173">
        <w:r w:rsidR="00860896" w:rsidRPr="00536B92">
          <w:rPr>
            <w:rFonts w:asciiTheme="majorBidi" w:hAnsiTheme="majorBidi" w:cstheme="majorBidi"/>
            <w:color w:val="auto"/>
            <w:sz w:val="20"/>
            <w:szCs w:val="20"/>
            <w:vertAlign w:val="subscript"/>
          </w:rPr>
          <w:t xml:space="preserve"> </w:t>
        </w:r>
      </w:hyperlink>
      <w:hyperlink r:id="rId174">
        <w:r w:rsidR="00860896" w:rsidRPr="00536B92">
          <w:rPr>
            <w:rFonts w:asciiTheme="majorBidi" w:hAnsiTheme="majorBidi" w:cstheme="majorBidi"/>
            <w:color w:val="auto"/>
            <w:sz w:val="20"/>
            <w:szCs w:val="20"/>
          </w:rPr>
          <w:t xml:space="preserve">opinions, </w:t>
        </w:r>
        <w:proofErr w:type="spellStart"/>
        <w:r w:rsidR="00860896" w:rsidRPr="00536B92">
          <w:rPr>
            <w:rFonts w:asciiTheme="majorBidi" w:hAnsiTheme="majorBidi" w:cstheme="majorBidi"/>
            <w:color w:val="auto"/>
            <w:sz w:val="20"/>
            <w:szCs w:val="20"/>
          </w:rPr>
          <w:t>Zhurnal</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Nevrologii</w:t>
        </w:r>
        <w:proofErr w:type="spellEnd"/>
        <w:r w:rsidR="00860896" w:rsidRPr="00536B92">
          <w:rPr>
            <w:rFonts w:asciiTheme="majorBidi" w:hAnsiTheme="majorBidi" w:cstheme="majorBidi"/>
            <w:color w:val="auto"/>
            <w:sz w:val="20"/>
            <w:szCs w:val="20"/>
          </w:rPr>
          <w:t xml:space="preserve"> i </w:t>
        </w:r>
        <w:proofErr w:type="spellStart"/>
        <w:r w:rsidR="00860896" w:rsidRPr="00536B92">
          <w:rPr>
            <w:rFonts w:asciiTheme="majorBidi" w:hAnsiTheme="majorBidi" w:cstheme="majorBidi"/>
            <w:color w:val="auto"/>
            <w:sz w:val="20"/>
            <w:szCs w:val="20"/>
          </w:rPr>
          <w:t>Psikhiatrii</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imeni</w:t>
        </w:r>
        <w:proofErr w:type="spellEnd"/>
        <w:r w:rsidR="00860896" w:rsidRPr="00536B92">
          <w:rPr>
            <w:rFonts w:asciiTheme="majorBidi" w:hAnsiTheme="majorBidi" w:cstheme="majorBidi"/>
            <w:color w:val="auto"/>
            <w:sz w:val="20"/>
            <w:szCs w:val="20"/>
          </w:rPr>
          <w:t xml:space="preserve"> SS </w:t>
        </w:r>
        <w:proofErr w:type="spellStart"/>
        <w:r w:rsidR="00860896" w:rsidRPr="00536B92">
          <w:rPr>
            <w:rFonts w:asciiTheme="majorBidi" w:hAnsiTheme="majorBidi" w:cstheme="majorBidi"/>
            <w:color w:val="auto"/>
            <w:sz w:val="20"/>
            <w:szCs w:val="20"/>
          </w:rPr>
          <w:t>Korsakova</w:t>
        </w:r>
        <w:proofErr w:type="spellEnd"/>
      </w:hyperlink>
      <w:r w:rsidR="00860896" w:rsidRPr="00536B92">
        <w:rPr>
          <w:rFonts w:asciiTheme="majorBidi" w:hAnsiTheme="majorBidi" w:cstheme="majorBidi"/>
          <w:color w:val="auto"/>
          <w:sz w:val="20"/>
          <w:szCs w:val="20"/>
        </w:rPr>
        <w:t xml:space="preserve"> </w:t>
      </w:r>
      <w:hyperlink r:id="rId175">
        <w:r w:rsidR="00860896" w:rsidRPr="00536B92">
          <w:rPr>
            <w:rFonts w:asciiTheme="majorBidi" w:hAnsiTheme="majorBidi" w:cstheme="majorBidi"/>
            <w:color w:val="auto"/>
            <w:sz w:val="20"/>
            <w:szCs w:val="20"/>
          </w:rPr>
          <w:t>123 (7) (2023) 55</w:t>
        </w:r>
      </w:hyperlink>
      <w:hyperlink r:id="rId176">
        <w:r w:rsidR="00860896" w:rsidRPr="00536B92">
          <w:rPr>
            <w:rFonts w:asciiTheme="majorBidi" w:hAnsiTheme="majorBidi" w:cstheme="majorBidi"/>
            <w:color w:val="auto"/>
            <w:sz w:val="20"/>
            <w:szCs w:val="20"/>
          </w:rPr>
          <w:t>–</w:t>
        </w:r>
      </w:hyperlink>
      <w:hyperlink r:id="rId177">
        <w:r w:rsidR="00860896" w:rsidRPr="00536B92">
          <w:rPr>
            <w:rFonts w:asciiTheme="majorBidi" w:hAnsiTheme="majorBidi" w:cstheme="majorBidi"/>
            <w:color w:val="auto"/>
            <w:sz w:val="20"/>
            <w:szCs w:val="20"/>
          </w:rPr>
          <w:t>64</w:t>
        </w:r>
      </w:hyperlink>
      <w:hyperlink r:id="rId178">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79">
        <w:r w:rsidR="00860896" w:rsidRPr="00536B92">
          <w:rPr>
            <w:rFonts w:asciiTheme="majorBidi" w:hAnsiTheme="majorBidi" w:cstheme="majorBidi"/>
            <w:color w:val="auto"/>
            <w:sz w:val="20"/>
            <w:szCs w:val="20"/>
          </w:rPr>
          <w:t xml:space="preserve">P. </w:t>
        </w:r>
        <w:proofErr w:type="spellStart"/>
        <w:r w:rsidR="00860896" w:rsidRPr="00536B92">
          <w:rPr>
            <w:rFonts w:asciiTheme="majorBidi" w:hAnsiTheme="majorBidi" w:cstheme="majorBidi"/>
            <w:color w:val="auto"/>
            <w:sz w:val="20"/>
            <w:szCs w:val="20"/>
          </w:rPr>
          <w:t>Taheri</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Tanjani</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Azadbakht</w:t>
        </w:r>
        <w:proofErr w:type="spellEnd"/>
        <w:r w:rsidR="00860896" w:rsidRPr="00536B92">
          <w:rPr>
            <w:rFonts w:asciiTheme="majorBidi" w:hAnsiTheme="majorBidi" w:cstheme="majorBidi"/>
            <w:color w:val="auto"/>
            <w:sz w:val="20"/>
            <w:szCs w:val="20"/>
          </w:rPr>
          <w:t>, Psychometric properties of the Persian version of</w:t>
        </w:r>
      </w:hyperlink>
      <w:r w:rsidR="00860896" w:rsidRPr="00536B92">
        <w:rPr>
          <w:rFonts w:asciiTheme="majorBidi" w:hAnsiTheme="majorBidi" w:cstheme="majorBidi"/>
          <w:color w:val="auto"/>
          <w:sz w:val="20"/>
          <w:szCs w:val="20"/>
        </w:rPr>
        <w:t xml:space="preserve"> </w:t>
      </w:r>
      <w:hyperlink r:id="rId180">
        <w:r w:rsidR="00860896" w:rsidRPr="00536B92">
          <w:rPr>
            <w:rFonts w:asciiTheme="majorBidi" w:hAnsiTheme="majorBidi" w:cstheme="majorBidi"/>
            <w:color w:val="auto"/>
            <w:sz w:val="20"/>
            <w:szCs w:val="20"/>
          </w:rPr>
          <w:t>the activities of daily living scale and instrumental activities of daily living scale in</w:t>
        </w:r>
      </w:hyperlink>
      <w:r w:rsidR="00860896" w:rsidRPr="00536B92">
        <w:rPr>
          <w:rFonts w:asciiTheme="majorBidi" w:hAnsiTheme="majorBidi" w:cstheme="majorBidi"/>
          <w:color w:val="auto"/>
          <w:sz w:val="20"/>
          <w:szCs w:val="20"/>
        </w:rPr>
        <w:t xml:space="preserve"> </w:t>
      </w:r>
      <w:hyperlink r:id="rId181">
        <w:r w:rsidR="00860896" w:rsidRPr="00536B92">
          <w:rPr>
            <w:rFonts w:asciiTheme="majorBidi" w:hAnsiTheme="majorBidi" w:cstheme="majorBidi"/>
            <w:color w:val="auto"/>
            <w:sz w:val="20"/>
            <w:szCs w:val="20"/>
          </w:rPr>
          <w:t xml:space="preserve">elderly, J. </w:t>
        </w:r>
        <w:proofErr w:type="spellStart"/>
        <w:r w:rsidR="00860896" w:rsidRPr="00536B92">
          <w:rPr>
            <w:rFonts w:asciiTheme="majorBidi" w:hAnsiTheme="majorBidi" w:cstheme="majorBidi"/>
            <w:color w:val="auto"/>
            <w:sz w:val="20"/>
            <w:szCs w:val="20"/>
          </w:rPr>
          <w:t>Mazandaran</w:t>
        </w:r>
        <w:proofErr w:type="spellEnd"/>
        <w:r w:rsidR="00860896" w:rsidRPr="00536B92">
          <w:rPr>
            <w:rFonts w:asciiTheme="majorBidi" w:hAnsiTheme="majorBidi" w:cstheme="majorBidi"/>
            <w:color w:val="auto"/>
            <w:sz w:val="20"/>
            <w:szCs w:val="20"/>
          </w:rPr>
          <w:t xml:space="preserve"> Univ. </w:t>
        </w:r>
        <w:proofErr w:type="spellStart"/>
        <w:r w:rsidR="00860896" w:rsidRPr="00536B92">
          <w:rPr>
            <w:rFonts w:asciiTheme="majorBidi" w:hAnsiTheme="majorBidi" w:cstheme="majorBidi"/>
            <w:color w:val="auto"/>
            <w:sz w:val="20"/>
            <w:szCs w:val="20"/>
          </w:rPr>
          <w:t>Med.Sci</w:t>
        </w:r>
        <w:proofErr w:type="spellEnd"/>
        <w:r w:rsidR="00860896" w:rsidRPr="00536B92">
          <w:rPr>
            <w:rFonts w:asciiTheme="majorBidi" w:hAnsiTheme="majorBidi" w:cstheme="majorBidi"/>
            <w:color w:val="auto"/>
            <w:sz w:val="20"/>
            <w:szCs w:val="20"/>
          </w:rPr>
          <w:t>. 25 (132) (2016) 103</w:t>
        </w:r>
      </w:hyperlink>
      <w:hyperlink r:id="rId182">
        <w:r w:rsidR="00860896" w:rsidRPr="00536B92">
          <w:rPr>
            <w:rFonts w:asciiTheme="majorBidi" w:hAnsiTheme="majorBidi" w:cstheme="majorBidi"/>
            <w:color w:val="auto"/>
            <w:sz w:val="20"/>
            <w:szCs w:val="20"/>
          </w:rPr>
          <w:t>–</w:t>
        </w:r>
      </w:hyperlink>
      <w:hyperlink r:id="rId183">
        <w:r w:rsidR="00860896" w:rsidRPr="00536B92">
          <w:rPr>
            <w:rFonts w:asciiTheme="majorBidi" w:hAnsiTheme="majorBidi" w:cstheme="majorBidi"/>
            <w:color w:val="auto"/>
            <w:sz w:val="20"/>
            <w:szCs w:val="20"/>
          </w:rPr>
          <w:t>112</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184">
        <w:r w:rsidR="00860896" w:rsidRPr="00536B92">
          <w:rPr>
            <w:rFonts w:asciiTheme="majorBidi" w:hAnsiTheme="majorBidi" w:cstheme="majorBidi"/>
            <w:color w:val="auto"/>
            <w:sz w:val="20"/>
            <w:szCs w:val="20"/>
          </w:rPr>
          <w:t xml:space="preserve">C. </w:t>
        </w:r>
        <w:proofErr w:type="spellStart"/>
        <w:r w:rsidR="00860896" w:rsidRPr="00536B92">
          <w:rPr>
            <w:rFonts w:asciiTheme="majorBidi" w:hAnsiTheme="majorBidi" w:cstheme="majorBidi"/>
            <w:color w:val="auto"/>
            <w:sz w:val="20"/>
            <w:szCs w:val="20"/>
          </w:rPr>
          <w:t>Sasannejad</w:t>
        </w:r>
        <w:proofErr w:type="spellEnd"/>
        <w:r w:rsidR="00860896" w:rsidRPr="00536B92">
          <w:rPr>
            <w:rFonts w:asciiTheme="majorBidi" w:hAnsiTheme="majorBidi" w:cstheme="majorBidi"/>
            <w:color w:val="auto"/>
            <w:sz w:val="20"/>
            <w:szCs w:val="20"/>
          </w:rPr>
          <w:t xml:space="preserve">, E.W. Ely, S. </w:t>
        </w:r>
        <w:proofErr w:type="spellStart"/>
        <w:r w:rsidR="00860896" w:rsidRPr="00536B92">
          <w:rPr>
            <w:rFonts w:asciiTheme="majorBidi" w:hAnsiTheme="majorBidi" w:cstheme="majorBidi"/>
            <w:color w:val="auto"/>
            <w:sz w:val="20"/>
            <w:szCs w:val="20"/>
          </w:rPr>
          <w:t>Lahiri</w:t>
        </w:r>
        <w:proofErr w:type="spellEnd"/>
        <w:r w:rsidR="00860896" w:rsidRPr="00536B92">
          <w:rPr>
            <w:rFonts w:asciiTheme="majorBidi" w:hAnsiTheme="majorBidi" w:cstheme="majorBidi"/>
            <w:color w:val="auto"/>
            <w:sz w:val="20"/>
            <w:szCs w:val="20"/>
          </w:rPr>
          <w:t xml:space="preserve">, Long-term cognitive impairment after acute </w:t>
        </w:r>
      </w:hyperlink>
      <w:hyperlink r:id="rId185">
        <w:r w:rsidR="00860896" w:rsidRPr="00536B92">
          <w:rPr>
            <w:rFonts w:asciiTheme="majorBidi" w:hAnsiTheme="majorBidi" w:cstheme="majorBidi"/>
            <w:color w:val="auto"/>
            <w:sz w:val="20"/>
            <w:szCs w:val="20"/>
          </w:rPr>
          <w:t xml:space="preserve">respiratory distress syndrome: a review of clinical impact and pathophysiological </w:t>
        </w:r>
      </w:hyperlink>
      <w:hyperlink r:id="rId186">
        <w:r w:rsidR="00860896" w:rsidRPr="00536B92">
          <w:rPr>
            <w:rFonts w:asciiTheme="majorBidi" w:hAnsiTheme="majorBidi" w:cstheme="majorBidi"/>
            <w:color w:val="auto"/>
            <w:sz w:val="20"/>
            <w:szCs w:val="20"/>
          </w:rPr>
          <w:t>mechanisms, Crit. Care 23 (1) (2019) 352</w:t>
        </w:r>
      </w:hyperlink>
      <w:hyperlink r:id="rId187">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88">
        <w:r w:rsidR="00860896" w:rsidRPr="00536B92">
          <w:rPr>
            <w:rFonts w:asciiTheme="majorBidi" w:hAnsiTheme="majorBidi" w:cstheme="majorBidi"/>
            <w:color w:val="auto"/>
            <w:sz w:val="20"/>
            <w:szCs w:val="20"/>
          </w:rPr>
          <w:t>N.M.L. e Silva, F.G. Barros-</w:t>
        </w:r>
        <w:proofErr w:type="spellStart"/>
        <w:r w:rsidR="00860896" w:rsidRPr="00536B92">
          <w:rPr>
            <w:rFonts w:asciiTheme="majorBidi" w:hAnsiTheme="majorBidi" w:cstheme="majorBidi"/>
            <w:color w:val="auto"/>
            <w:sz w:val="20"/>
            <w:szCs w:val="20"/>
          </w:rPr>
          <w:t>Aragao</w:t>
        </w:r>
        <w:proofErr w:type="spellEnd"/>
        <w:r w:rsidR="00860896" w:rsidRPr="00536B92">
          <w:rPr>
            <w:rFonts w:asciiTheme="majorBidi" w:hAnsiTheme="majorBidi" w:cstheme="majorBidi"/>
            <w:color w:val="auto"/>
            <w:sz w:val="20"/>
            <w:szCs w:val="20"/>
          </w:rPr>
          <w:t xml:space="preserve">, F.G. De </w:t>
        </w:r>
        <w:proofErr w:type="spellStart"/>
        <w:r w:rsidR="00860896" w:rsidRPr="00536B92">
          <w:rPr>
            <w:rFonts w:asciiTheme="majorBidi" w:hAnsiTheme="majorBidi" w:cstheme="majorBidi"/>
            <w:color w:val="auto"/>
            <w:sz w:val="20"/>
            <w:szCs w:val="20"/>
          </w:rPr>
          <w:t>Felice</w:t>
        </w:r>
        <w:proofErr w:type="spellEnd"/>
        <w:r w:rsidR="00860896" w:rsidRPr="00536B92">
          <w:rPr>
            <w:rFonts w:asciiTheme="majorBidi" w:hAnsiTheme="majorBidi" w:cstheme="majorBidi"/>
            <w:color w:val="auto"/>
            <w:sz w:val="20"/>
            <w:szCs w:val="20"/>
          </w:rPr>
          <w:t>, S.T. Ferreira, Inflammation at</w:t>
        </w:r>
      </w:hyperlink>
      <w:hyperlink r:id="rId189">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ab/>
        <w:t xml:space="preserve"> </w:t>
      </w:r>
      <w:hyperlink r:id="rId190">
        <w:r w:rsidR="00860896" w:rsidRPr="00536B92">
          <w:rPr>
            <w:rFonts w:asciiTheme="majorBidi" w:hAnsiTheme="majorBidi" w:cstheme="majorBidi"/>
            <w:color w:val="auto"/>
            <w:sz w:val="20"/>
            <w:szCs w:val="20"/>
          </w:rPr>
          <w:t>the crossroads of COVID-19, cognitive deficits and depression, Neuropharmacology</w:t>
        </w:r>
      </w:hyperlink>
      <w:r w:rsidR="00860896" w:rsidRPr="00536B92">
        <w:rPr>
          <w:rFonts w:asciiTheme="majorBidi" w:hAnsiTheme="majorBidi" w:cstheme="majorBidi"/>
          <w:color w:val="auto"/>
          <w:sz w:val="20"/>
          <w:szCs w:val="20"/>
        </w:rPr>
        <w:t xml:space="preserve"> </w:t>
      </w:r>
      <w:hyperlink r:id="rId191">
        <w:r w:rsidR="00860896" w:rsidRPr="00536B92">
          <w:rPr>
            <w:rFonts w:asciiTheme="majorBidi" w:hAnsiTheme="majorBidi" w:cstheme="majorBidi"/>
            <w:color w:val="auto"/>
            <w:sz w:val="20"/>
            <w:szCs w:val="20"/>
          </w:rPr>
          <w:t>209 (2022) 109023</w:t>
        </w:r>
      </w:hyperlink>
      <w:hyperlink r:id="rId192">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193">
        <w:r w:rsidR="00860896" w:rsidRPr="00536B92">
          <w:rPr>
            <w:rFonts w:asciiTheme="majorBidi" w:hAnsiTheme="majorBidi" w:cstheme="majorBidi"/>
            <w:color w:val="auto"/>
            <w:sz w:val="20"/>
            <w:szCs w:val="20"/>
          </w:rPr>
          <w:t xml:space="preserve">M.J. Colwell, H. </w:t>
        </w:r>
        <w:proofErr w:type="spellStart"/>
        <w:r w:rsidR="00860896" w:rsidRPr="00536B92">
          <w:rPr>
            <w:rFonts w:asciiTheme="majorBidi" w:hAnsiTheme="majorBidi" w:cstheme="majorBidi"/>
            <w:color w:val="auto"/>
            <w:sz w:val="20"/>
            <w:szCs w:val="20"/>
          </w:rPr>
          <w:t>Tagomori</w:t>
        </w:r>
        <w:proofErr w:type="spellEnd"/>
        <w:r w:rsidR="00860896" w:rsidRPr="00536B92">
          <w:rPr>
            <w:rFonts w:asciiTheme="majorBidi" w:hAnsiTheme="majorBidi" w:cstheme="majorBidi"/>
            <w:color w:val="auto"/>
            <w:sz w:val="20"/>
            <w:szCs w:val="20"/>
          </w:rPr>
          <w:t>, S. Chapman, A.L. Gillespie, P.J. Cowen, C.J. Harmer, et</w:t>
        </w:r>
      </w:hyperlink>
      <w:r w:rsidR="00860896" w:rsidRPr="00536B92">
        <w:rPr>
          <w:rFonts w:asciiTheme="majorBidi" w:hAnsiTheme="majorBidi" w:cstheme="majorBidi"/>
          <w:color w:val="auto"/>
          <w:sz w:val="20"/>
          <w:szCs w:val="20"/>
        </w:rPr>
        <w:t xml:space="preserve"> </w:t>
      </w:r>
      <w:hyperlink r:id="rId194">
        <w:r w:rsidR="00860896" w:rsidRPr="00536B92">
          <w:rPr>
            <w:rFonts w:asciiTheme="majorBidi" w:hAnsiTheme="majorBidi" w:cstheme="majorBidi"/>
            <w:color w:val="auto"/>
            <w:sz w:val="20"/>
            <w:szCs w:val="20"/>
          </w:rPr>
          <w:t>al., Pharmacological targeting of cognitive impairment in depression: recent</w:t>
        </w:r>
      </w:hyperlink>
      <w:r w:rsidR="00860896" w:rsidRPr="00536B92">
        <w:rPr>
          <w:rFonts w:asciiTheme="majorBidi" w:hAnsiTheme="majorBidi" w:cstheme="majorBidi"/>
          <w:color w:val="auto"/>
          <w:sz w:val="20"/>
          <w:szCs w:val="20"/>
        </w:rPr>
        <w:t xml:space="preserve"> </w:t>
      </w:r>
      <w:hyperlink r:id="rId195">
        <w:r w:rsidR="00860896" w:rsidRPr="00536B92">
          <w:rPr>
            <w:rFonts w:asciiTheme="majorBidi" w:hAnsiTheme="majorBidi" w:cstheme="majorBidi"/>
            <w:color w:val="auto"/>
            <w:sz w:val="20"/>
            <w:szCs w:val="20"/>
          </w:rPr>
          <w:t>developments and challenges in human clinical research, Transl. Psychiatry 12 (1)</w:t>
        </w:r>
      </w:hyperlink>
      <w:r w:rsidR="00860896" w:rsidRPr="00536B92">
        <w:rPr>
          <w:rFonts w:asciiTheme="majorBidi" w:hAnsiTheme="majorBidi" w:cstheme="majorBidi"/>
          <w:color w:val="auto"/>
          <w:sz w:val="20"/>
          <w:szCs w:val="20"/>
        </w:rPr>
        <w:t xml:space="preserve"> </w:t>
      </w:r>
      <w:hyperlink r:id="rId196">
        <w:r w:rsidR="00860896" w:rsidRPr="00536B92">
          <w:rPr>
            <w:rFonts w:asciiTheme="majorBidi" w:hAnsiTheme="majorBidi" w:cstheme="majorBidi"/>
            <w:color w:val="auto"/>
            <w:sz w:val="20"/>
            <w:szCs w:val="20"/>
          </w:rPr>
          <w:t>(2022) 484</w:t>
        </w:r>
      </w:hyperlink>
      <w:hyperlink r:id="rId197">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536B92" w:rsidRPr="00536B92" w:rsidRDefault="00536B92" w:rsidP="00536B92">
      <w:pPr>
        <w:numPr>
          <w:ilvl w:val="0"/>
          <w:numId w:val="2"/>
        </w:numPr>
        <w:spacing w:line="252" w:lineRule="auto"/>
        <w:ind w:right="26" w:hanging="331"/>
        <w:rPr>
          <w:rFonts w:asciiTheme="majorBidi" w:hAnsiTheme="majorBidi" w:cstheme="majorBidi"/>
          <w:color w:val="auto"/>
          <w:sz w:val="20"/>
          <w:szCs w:val="20"/>
        </w:rPr>
      </w:pPr>
      <w:hyperlink r:id="rId198">
        <w:r w:rsidR="00860896" w:rsidRPr="00536B92">
          <w:rPr>
            <w:rFonts w:asciiTheme="majorBidi" w:hAnsiTheme="majorBidi" w:cstheme="majorBidi"/>
            <w:color w:val="auto"/>
            <w:sz w:val="20"/>
            <w:szCs w:val="20"/>
          </w:rPr>
          <w:t xml:space="preserve">R.A. Evans, O.C. </w:t>
        </w:r>
        <w:proofErr w:type="spellStart"/>
        <w:r w:rsidR="00860896" w:rsidRPr="00536B92">
          <w:rPr>
            <w:rFonts w:asciiTheme="majorBidi" w:hAnsiTheme="majorBidi" w:cstheme="majorBidi"/>
            <w:color w:val="auto"/>
            <w:sz w:val="20"/>
            <w:szCs w:val="20"/>
          </w:rPr>
          <w:t>Leavy</w:t>
        </w:r>
        <w:proofErr w:type="spellEnd"/>
        <w:r w:rsidR="00860896" w:rsidRPr="00536B92">
          <w:rPr>
            <w:rFonts w:asciiTheme="majorBidi" w:hAnsiTheme="majorBidi" w:cstheme="majorBidi"/>
            <w:color w:val="auto"/>
            <w:sz w:val="20"/>
            <w:szCs w:val="20"/>
          </w:rPr>
          <w:t xml:space="preserve">, M. Richardson, O. </w:t>
        </w:r>
        <w:proofErr w:type="spellStart"/>
        <w:r w:rsidR="00860896" w:rsidRPr="00536B92">
          <w:rPr>
            <w:rFonts w:asciiTheme="majorBidi" w:hAnsiTheme="majorBidi" w:cstheme="majorBidi"/>
            <w:color w:val="auto"/>
            <w:sz w:val="20"/>
            <w:szCs w:val="20"/>
          </w:rPr>
          <w:t>Elneima</w:t>
        </w:r>
        <w:proofErr w:type="spellEnd"/>
        <w:r w:rsidR="00860896" w:rsidRPr="00536B92">
          <w:rPr>
            <w:rFonts w:asciiTheme="majorBidi" w:hAnsiTheme="majorBidi" w:cstheme="majorBidi"/>
            <w:color w:val="auto"/>
            <w:sz w:val="20"/>
            <w:szCs w:val="20"/>
          </w:rPr>
          <w:t xml:space="preserve">, H.J. </w:t>
        </w:r>
        <w:proofErr w:type="spellStart"/>
        <w:r w:rsidR="00860896" w:rsidRPr="00536B92">
          <w:rPr>
            <w:rFonts w:asciiTheme="majorBidi" w:hAnsiTheme="majorBidi" w:cstheme="majorBidi"/>
            <w:color w:val="auto"/>
            <w:sz w:val="20"/>
            <w:szCs w:val="20"/>
          </w:rPr>
          <w:t>McAuley</w:t>
        </w:r>
        <w:proofErr w:type="spellEnd"/>
        <w:r w:rsidR="00860896" w:rsidRPr="00536B92">
          <w:rPr>
            <w:rFonts w:asciiTheme="majorBidi" w:hAnsiTheme="majorBidi" w:cstheme="majorBidi"/>
            <w:color w:val="auto"/>
            <w:sz w:val="20"/>
            <w:szCs w:val="20"/>
          </w:rPr>
          <w:t xml:space="preserve">, A. </w:t>
        </w:r>
        <w:proofErr w:type="spellStart"/>
        <w:r w:rsidR="00860896" w:rsidRPr="00536B92">
          <w:rPr>
            <w:rFonts w:asciiTheme="majorBidi" w:hAnsiTheme="majorBidi" w:cstheme="majorBidi"/>
            <w:color w:val="auto"/>
            <w:sz w:val="20"/>
            <w:szCs w:val="20"/>
          </w:rPr>
          <w:t>Shikotra</w:t>
        </w:r>
        <w:proofErr w:type="spellEnd"/>
        <w:r w:rsidR="00860896" w:rsidRPr="00536B92">
          <w:rPr>
            <w:rFonts w:asciiTheme="majorBidi" w:hAnsiTheme="majorBidi" w:cstheme="majorBidi"/>
            <w:color w:val="auto"/>
            <w:sz w:val="20"/>
            <w:szCs w:val="20"/>
          </w:rPr>
          <w:t>, et</w:t>
        </w:r>
      </w:hyperlink>
      <w:r w:rsidR="00860896" w:rsidRPr="00536B92">
        <w:rPr>
          <w:rFonts w:asciiTheme="majorBidi" w:hAnsiTheme="majorBidi" w:cstheme="majorBidi"/>
          <w:color w:val="auto"/>
          <w:sz w:val="20"/>
          <w:szCs w:val="20"/>
        </w:rPr>
        <w:t xml:space="preserve"> </w:t>
      </w:r>
      <w:hyperlink r:id="rId199">
        <w:r w:rsidR="00860896" w:rsidRPr="00536B92">
          <w:rPr>
            <w:rFonts w:asciiTheme="majorBidi" w:hAnsiTheme="majorBidi" w:cstheme="majorBidi"/>
            <w:color w:val="auto"/>
            <w:sz w:val="20"/>
            <w:szCs w:val="20"/>
          </w:rPr>
          <w:t xml:space="preserve">al., Clinical characteristics with inflammation profiling of long COVID and </w:t>
        </w:r>
      </w:hyperlink>
      <w:hyperlink r:id="rId200">
        <w:r w:rsidR="00860896" w:rsidRPr="00536B92">
          <w:rPr>
            <w:rFonts w:asciiTheme="majorBidi" w:hAnsiTheme="majorBidi" w:cstheme="majorBidi"/>
            <w:color w:val="auto"/>
            <w:sz w:val="20"/>
            <w:szCs w:val="20"/>
          </w:rPr>
          <w:t xml:space="preserve">association with 1-year recovery following </w:t>
        </w:r>
        <w:proofErr w:type="spellStart"/>
        <w:r w:rsidR="00860896" w:rsidRPr="00536B92">
          <w:rPr>
            <w:rFonts w:asciiTheme="majorBidi" w:hAnsiTheme="majorBidi" w:cstheme="majorBidi"/>
            <w:color w:val="auto"/>
            <w:sz w:val="20"/>
            <w:szCs w:val="20"/>
          </w:rPr>
          <w:t>hospitalisation</w:t>
        </w:r>
        <w:proofErr w:type="spellEnd"/>
        <w:r w:rsidR="00860896" w:rsidRPr="00536B92">
          <w:rPr>
            <w:rFonts w:asciiTheme="majorBidi" w:hAnsiTheme="majorBidi" w:cstheme="majorBidi"/>
            <w:color w:val="auto"/>
            <w:sz w:val="20"/>
            <w:szCs w:val="20"/>
          </w:rPr>
          <w:t xml:space="preserve"> in the UK: a prospective </w:t>
        </w:r>
      </w:hyperlink>
      <w:hyperlink r:id="rId201">
        <w:r w:rsidR="00860896" w:rsidRPr="00536B92">
          <w:rPr>
            <w:rFonts w:asciiTheme="majorBidi" w:hAnsiTheme="majorBidi" w:cstheme="majorBidi"/>
            <w:color w:val="auto"/>
            <w:sz w:val="20"/>
            <w:szCs w:val="20"/>
          </w:rPr>
          <w:t xml:space="preserve">observational study, Lancet </w:t>
        </w:r>
        <w:proofErr w:type="spellStart"/>
        <w:r w:rsidR="00860896" w:rsidRPr="00536B92">
          <w:rPr>
            <w:rFonts w:asciiTheme="majorBidi" w:hAnsiTheme="majorBidi" w:cstheme="majorBidi"/>
            <w:color w:val="auto"/>
            <w:sz w:val="20"/>
            <w:szCs w:val="20"/>
          </w:rPr>
          <w:t>Respir</w:t>
        </w:r>
        <w:proofErr w:type="spellEnd"/>
        <w:r w:rsidR="00860896" w:rsidRPr="00536B92">
          <w:rPr>
            <w:rFonts w:asciiTheme="majorBidi" w:hAnsiTheme="majorBidi" w:cstheme="majorBidi"/>
            <w:color w:val="auto"/>
            <w:sz w:val="20"/>
            <w:szCs w:val="20"/>
          </w:rPr>
          <w:t>. Med. 10 (8) (2022) 761</w:t>
        </w:r>
      </w:hyperlink>
      <w:hyperlink r:id="rId202">
        <w:r w:rsidR="00860896" w:rsidRPr="00536B92">
          <w:rPr>
            <w:rFonts w:asciiTheme="majorBidi" w:hAnsiTheme="majorBidi" w:cstheme="majorBidi"/>
            <w:color w:val="auto"/>
            <w:sz w:val="20"/>
            <w:szCs w:val="20"/>
          </w:rPr>
          <w:t>–</w:t>
        </w:r>
      </w:hyperlink>
      <w:hyperlink r:id="rId203">
        <w:r w:rsidR="00860896" w:rsidRPr="00536B92">
          <w:rPr>
            <w:rFonts w:asciiTheme="majorBidi" w:hAnsiTheme="majorBidi" w:cstheme="majorBidi"/>
            <w:color w:val="auto"/>
            <w:sz w:val="20"/>
            <w:szCs w:val="20"/>
          </w:rPr>
          <w:t>775</w:t>
        </w:r>
      </w:hyperlink>
      <w:r w:rsidR="00860896" w:rsidRPr="00536B92">
        <w:rPr>
          <w:rFonts w:asciiTheme="majorBidi" w:hAnsiTheme="majorBidi" w:cstheme="majorBidi"/>
          <w:color w:val="auto"/>
          <w:sz w:val="20"/>
          <w:szCs w:val="20"/>
        </w:rPr>
        <w:t xml:space="preserve">. </w:t>
      </w:r>
    </w:p>
    <w:p w:rsidR="00536B92" w:rsidRPr="00536B92" w:rsidRDefault="00536B92" w:rsidP="00536B92">
      <w:pPr>
        <w:spacing w:after="0" w:line="247" w:lineRule="auto"/>
        <w:ind w:left="331" w:right="26" w:firstLine="0"/>
        <w:jc w:val="left"/>
        <w:rPr>
          <w:rFonts w:asciiTheme="majorBidi" w:hAnsiTheme="majorBidi" w:cstheme="majorBidi"/>
          <w:color w:val="auto"/>
          <w:sz w:val="20"/>
          <w:szCs w:val="20"/>
        </w:rPr>
      </w:pPr>
    </w:p>
    <w:p w:rsidR="001F47D8" w:rsidRPr="00536B92" w:rsidRDefault="00536B92" w:rsidP="00536B92">
      <w:pPr>
        <w:numPr>
          <w:ilvl w:val="0"/>
          <w:numId w:val="2"/>
        </w:numPr>
        <w:spacing w:after="0" w:line="247" w:lineRule="auto"/>
        <w:ind w:right="26" w:hanging="331"/>
        <w:jc w:val="left"/>
        <w:rPr>
          <w:rFonts w:asciiTheme="majorBidi" w:hAnsiTheme="majorBidi" w:cstheme="majorBidi"/>
          <w:color w:val="auto"/>
          <w:sz w:val="20"/>
          <w:szCs w:val="20"/>
        </w:rPr>
      </w:pPr>
      <w:hyperlink r:id="rId204">
        <w:r w:rsidR="00860896" w:rsidRPr="00536B92">
          <w:rPr>
            <w:rFonts w:asciiTheme="majorBidi" w:hAnsiTheme="majorBidi" w:cstheme="majorBidi"/>
            <w:color w:val="auto"/>
            <w:sz w:val="20"/>
            <w:szCs w:val="20"/>
          </w:rPr>
          <w:t xml:space="preserve">H. </w:t>
        </w:r>
        <w:proofErr w:type="spellStart"/>
        <w:r w:rsidR="00860896" w:rsidRPr="00536B92">
          <w:rPr>
            <w:rFonts w:asciiTheme="majorBidi" w:hAnsiTheme="majorBidi" w:cstheme="majorBidi"/>
            <w:color w:val="auto"/>
            <w:sz w:val="20"/>
            <w:szCs w:val="20"/>
          </w:rPr>
          <w:t>Okon</w:t>
        </w:r>
        <w:proofErr w:type="spellEnd"/>
        <w:r w:rsidR="00860896" w:rsidRPr="00536B92">
          <w:rPr>
            <w:rFonts w:asciiTheme="majorBidi" w:hAnsiTheme="majorBidi" w:cstheme="majorBidi"/>
            <w:color w:val="auto"/>
            <w:sz w:val="20"/>
            <w:szCs w:val="20"/>
          </w:rPr>
          <w:t xml:space="preserve">-Singer, T. </w:t>
        </w:r>
        <w:proofErr w:type="spellStart"/>
        <w:r w:rsidR="00860896" w:rsidRPr="00536B92">
          <w:rPr>
            <w:rFonts w:asciiTheme="majorBidi" w:hAnsiTheme="majorBidi" w:cstheme="majorBidi"/>
            <w:color w:val="auto"/>
            <w:sz w:val="20"/>
            <w:szCs w:val="20"/>
          </w:rPr>
          <w:t>Hendler</w:t>
        </w:r>
        <w:proofErr w:type="spellEnd"/>
        <w:r w:rsidR="00860896" w:rsidRPr="00536B92">
          <w:rPr>
            <w:rFonts w:asciiTheme="majorBidi" w:hAnsiTheme="majorBidi" w:cstheme="majorBidi"/>
            <w:color w:val="auto"/>
            <w:sz w:val="20"/>
            <w:szCs w:val="20"/>
          </w:rPr>
          <w:t xml:space="preserve">, L. Pessoa, A.J. </w:t>
        </w:r>
        <w:proofErr w:type="spellStart"/>
        <w:r w:rsidR="00860896" w:rsidRPr="00536B92">
          <w:rPr>
            <w:rFonts w:asciiTheme="majorBidi" w:hAnsiTheme="majorBidi" w:cstheme="majorBidi"/>
            <w:color w:val="auto"/>
            <w:sz w:val="20"/>
            <w:szCs w:val="20"/>
          </w:rPr>
          <w:t>Shackman</w:t>
        </w:r>
        <w:proofErr w:type="spellEnd"/>
        <w:r w:rsidR="00860896" w:rsidRPr="00536B92">
          <w:rPr>
            <w:rFonts w:asciiTheme="majorBidi" w:hAnsiTheme="majorBidi" w:cstheme="majorBidi"/>
            <w:color w:val="auto"/>
            <w:sz w:val="20"/>
            <w:szCs w:val="20"/>
          </w:rPr>
          <w:t xml:space="preserve">, The neurobiology of </w:t>
        </w:r>
      </w:hyperlink>
      <w:hyperlink r:id="rId205">
        <w:r w:rsidR="00860896" w:rsidRPr="00536B92">
          <w:rPr>
            <w:rFonts w:asciiTheme="majorBidi" w:hAnsiTheme="majorBidi" w:cstheme="majorBidi"/>
            <w:color w:val="auto"/>
            <w:sz w:val="20"/>
            <w:szCs w:val="20"/>
          </w:rPr>
          <w:t>emotion</w:t>
        </w:r>
      </w:hyperlink>
      <w:hyperlink r:id="rId206">
        <w:r w:rsidR="00860896" w:rsidRPr="00536B92">
          <w:rPr>
            <w:rFonts w:asciiTheme="majorBidi" w:hAnsiTheme="majorBidi" w:cstheme="majorBidi"/>
            <w:color w:val="auto"/>
            <w:sz w:val="20"/>
            <w:szCs w:val="20"/>
          </w:rPr>
          <w:t>–</w:t>
        </w:r>
      </w:hyperlink>
      <w:hyperlink r:id="rId207">
        <w:r w:rsidR="00860896" w:rsidRPr="00536B92">
          <w:rPr>
            <w:rFonts w:asciiTheme="majorBidi" w:hAnsiTheme="majorBidi" w:cstheme="majorBidi"/>
            <w:color w:val="auto"/>
            <w:sz w:val="20"/>
            <w:szCs w:val="20"/>
          </w:rPr>
          <w:t xml:space="preserve">cognition interactions: fundamental questions and strategies for future </w:t>
        </w:r>
      </w:hyperlink>
      <w:hyperlink r:id="rId208">
        <w:r w:rsidR="00860896" w:rsidRPr="00536B92">
          <w:rPr>
            <w:rFonts w:asciiTheme="majorBidi" w:hAnsiTheme="majorBidi" w:cstheme="majorBidi"/>
            <w:color w:val="auto"/>
            <w:sz w:val="20"/>
            <w:szCs w:val="20"/>
          </w:rPr>
          <w:t xml:space="preserve">research, Front. Hum. </w:t>
        </w:r>
        <w:proofErr w:type="spellStart"/>
        <w:r w:rsidR="00860896" w:rsidRPr="00536B92">
          <w:rPr>
            <w:rFonts w:asciiTheme="majorBidi" w:hAnsiTheme="majorBidi" w:cstheme="majorBidi"/>
            <w:color w:val="auto"/>
            <w:sz w:val="20"/>
            <w:szCs w:val="20"/>
          </w:rPr>
          <w:t>Neurosci</w:t>
        </w:r>
        <w:proofErr w:type="spellEnd"/>
        <w:r w:rsidR="00860896" w:rsidRPr="00536B92">
          <w:rPr>
            <w:rFonts w:asciiTheme="majorBidi" w:hAnsiTheme="majorBidi" w:cstheme="majorBidi"/>
            <w:color w:val="auto"/>
            <w:sz w:val="20"/>
            <w:szCs w:val="20"/>
          </w:rPr>
          <w:t>. 9 (2015) 58</w:t>
        </w:r>
      </w:hyperlink>
      <w:hyperlink r:id="rId209">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210">
        <w:r w:rsidR="00860896" w:rsidRPr="00536B92">
          <w:rPr>
            <w:rFonts w:asciiTheme="majorBidi" w:hAnsiTheme="majorBidi" w:cstheme="majorBidi"/>
            <w:color w:val="auto"/>
            <w:sz w:val="20"/>
            <w:szCs w:val="20"/>
          </w:rPr>
          <w:t xml:space="preserve">C.J. </w:t>
        </w:r>
        <w:proofErr w:type="spellStart"/>
        <w:r w:rsidR="00860896" w:rsidRPr="00536B92">
          <w:rPr>
            <w:rFonts w:asciiTheme="majorBidi" w:hAnsiTheme="majorBidi" w:cstheme="majorBidi"/>
            <w:color w:val="auto"/>
            <w:sz w:val="20"/>
            <w:szCs w:val="20"/>
          </w:rPr>
          <w:t>Valvona</w:t>
        </w:r>
        <w:proofErr w:type="spellEnd"/>
        <w:r w:rsidR="00860896" w:rsidRPr="00536B92">
          <w:rPr>
            <w:rFonts w:asciiTheme="majorBidi" w:hAnsiTheme="majorBidi" w:cstheme="majorBidi"/>
            <w:color w:val="auto"/>
            <w:sz w:val="20"/>
            <w:szCs w:val="20"/>
          </w:rPr>
          <w:t>, H.L. Fillmore, P.B. Nunn, G.J. Pilkington, The regulation and</w:t>
        </w:r>
      </w:hyperlink>
      <w:r w:rsidR="00860896" w:rsidRPr="00536B92">
        <w:rPr>
          <w:rFonts w:asciiTheme="majorBidi" w:hAnsiTheme="majorBidi" w:cstheme="majorBidi"/>
          <w:color w:val="auto"/>
          <w:sz w:val="20"/>
          <w:szCs w:val="20"/>
        </w:rPr>
        <w:t xml:space="preserve"> </w:t>
      </w:r>
      <w:hyperlink r:id="rId211">
        <w:r w:rsidR="00860896" w:rsidRPr="00536B92">
          <w:rPr>
            <w:rFonts w:asciiTheme="majorBidi" w:hAnsiTheme="majorBidi" w:cstheme="majorBidi"/>
            <w:color w:val="auto"/>
            <w:sz w:val="20"/>
            <w:szCs w:val="20"/>
          </w:rPr>
          <w:t xml:space="preserve">function of lactate dehydrogenase a: therapeutic potential in brain tumor, Brain </w:t>
        </w:r>
      </w:hyperlink>
      <w:hyperlink r:id="rId212">
        <w:proofErr w:type="spellStart"/>
        <w:r w:rsidR="00860896" w:rsidRPr="00536B92">
          <w:rPr>
            <w:rFonts w:asciiTheme="majorBidi" w:hAnsiTheme="majorBidi" w:cstheme="majorBidi"/>
            <w:color w:val="auto"/>
            <w:sz w:val="20"/>
            <w:szCs w:val="20"/>
          </w:rPr>
          <w:t>Pathol</w:t>
        </w:r>
        <w:proofErr w:type="spellEnd"/>
        <w:r w:rsidR="00860896" w:rsidRPr="00536B92">
          <w:rPr>
            <w:rFonts w:asciiTheme="majorBidi" w:hAnsiTheme="majorBidi" w:cstheme="majorBidi"/>
            <w:color w:val="auto"/>
            <w:sz w:val="20"/>
            <w:szCs w:val="20"/>
          </w:rPr>
          <w:t>. 26 (1) (2016) 3</w:t>
        </w:r>
      </w:hyperlink>
      <w:hyperlink r:id="rId213">
        <w:r w:rsidR="00860896" w:rsidRPr="00536B92">
          <w:rPr>
            <w:rFonts w:asciiTheme="majorBidi" w:hAnsiTheme="majorBidi" w:cstheme="majorBidi"/>
            <w:color w:val="auto"/>
            <w:sz w:val="20"/>
            <w:szCs w:val="20"/>
          </w:rPr>
          <w:t>–</w:t>
        </w:r>
      </w:hyperlink>
      <w:hyperlink r:id="rId214">
        <w:r w:rsidR="00860896" w:rsidRPr="00536B92">
          <w:rPr>
            <w:rFonts w:asciiTheme="majorBidi" w:hAnsiTheme="majorBidi" w:cstheme="majorBidi"/>
            <w:color w:val="auto"/>
            <w:sz w:val="20"/>
            <w:szCs w:val="20"/>
          </w:rPr>
          <w:t>17</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15">
        <w:r w:rsidR="00860896" w:rsidRPr="00536B92">
          <w:rPr>
            <w:rFonts w:asciiTheme="majorBidi" w:hAnsiTheme="majorBidi" w:cstheme="majorBidi"/>
            <w:color w:val="auto"/>
            <w:sz w:val="20"/>
            <w:szCs w:val="20"/>
          </w:rPr>
          <w:t xml:space="preserve">E. </w:t>
        </w:r>
        <w:proofErr w:type="spellStart"/>
        <w:r w:rsidR="00860896" w:rsidRPr="00536B92">
          <w:rPr>
            <w:rFonts w:asciiTheme="majorBidi" w:hAnsiTheme="majorBidi" w:cstheme="majorBidi"/>
            <w:color w:val="auto"/>
            <w:sz w:val="20"/>
            <w:szCs w:val="20"/>
          </w:rPr>
          <w:t>Poggiali</w:t>
        </w:r>
        <w:proofErr w:type="spellEnd"/>
        <w:r w:rsidR="00860896" w:rsidRPr="00536B92">
          <w:rPr>
            <w:rFonts w:asciiTheme="majorBidi" w:hAnsiTheme="majorBidi" w:cstheme="majorBidi"/>
            <w:color w:val="auto"/>
            <w:sz w:val="20"/>
            <w:szCs w:val="20"/>
          </w:rPr>
          <w:t xml:space="preserve">, D. </w:t>
        </w:r>
        <w:proofErr w:type="spellStart"/>
        <w:r w:rsidR="00860896" w:rsidRPr="00536B92">
          <w:rPr>
            <w:rFonts w:asciiTheme="majorBidi" w:hAnsiTheme="majorBidi" w:cstheme="majorBidi"/>
            <w:color w:val="auto"/>
            <w:sz w:val="20"/>
            <w:szCs w:val="20"/>
          </w:rPr>
          <w:t>Zaino</w:t>
        </w:r>
        <w:proofErr w:type="spellEnd"/>
        <w:r w:rsidR="00860896" w:rsidRPr="00536B92">
          <w:rPr>
            <w:rFonts w:asciiTheme="majorBidi" w:hAnsiTheme="majorBidi" w:cstheme="majorBidi"/>
            <w:color w:val="auto"/>
            <w:sz w:val="20"/>
            <w:szCs w:val="20"/>
          </w:rPr>
          <w:t xml:space="preserve">, P. </w:t>
        </w:r>
        <w:proofErr w:type="spellStart"/>
        <w:r w:rsidR="00860896" w:rsidRPr="00536B92">
          <w:rPr>
            <w:rFonts w:asciiTheme="majorBidi" w:hAnsiTheme="majorBidi" w:cstheme="majorBidi"/>
            <w:color w:val="auto"/>
            <w:sz w:val="20"/>
            <w:szCs w:val="20"/>
          </w:rPr>
          <w:t>Immovilli</w:t>
        </w:r>
        <w:proofErr w:type="spellEnd"/>
        <w:r w:rsidR="00860896" w:rsidRPr="00536B92">
          <w:rPr>
            <w:rFonts w:asciiTheme="majorBidi" w:hAnsiTheme="majorBidi" w:cstheme="majorBidi"/>
            <w:color w:val="auto"/>
            <w:sz w:val="20"/>
            <w:szCs w:val="20"/>
          </w:rPr>
          <w:t xml:space="preserve">, L. </w:t>
        </w:r>
        <w:proofErr w:type="spellStart"/>
        <w:r w:rsidR="00860896" w:rsidRPr="00536B92">
          <w:rPr>
            <w:rFonts w:asciiTheme="majorBidi" w:hAnsiTheme="majorBidi" w:cstheme="majorBidi"/>
            <w:color w:val="auto"/>
            <w:sz w:val="20"/>
            <w:szCs w:val="20"/>
          </w:rPr>
          <w:t>Rovero</w:t>
        </w:r>
        <w:proofErr w:type="spellEnd"/>
        <w:r w:rsidR="00860896" w:rsidRPr="00536B92">
          <w:rPr>
            <w:rFonts w:asciiTheme="majorBidi" w:hAnsiTheme="majorBidi" w:cstheme="majorBidi"/>
            <w:color w:val="auto"/>
            <w:sz w:val="20"/>
            <w:szCs w:val="20"/>
          </w:rPr>
          <w:t xml:space="preserve">, G. </w:t>
        </w:r>
        <w:proofErr w:type="spellStart"/>
        <w:r w:rsidR="00860896" w:rsidRPr="00536B92">
          <w:rPr>
            <w:rFonts w:asciiTheme="majorBidi" w:hAnsiTheme="majorBidi" w:cstheme="majorBidi"/>
            <w:color w:val="auto"/>
            <w:sz w:val="20"/>
            <w:szCs w:val="20"/>
          </w:rPr>
          <w:t>Losi</w:t>
        </w:r>
        <w:proofErr w:type="spellEnd"/>
        <w:r w:rsidR="00860896" w:rsidRPr="00536B92">
          <w:rPr>
            <w:rFonts w:asciiTheme="majorBidi" w:hAnsiTheme="majorBidi" w:cstheme="majorBidi"/>
            <w:color w:val="auto"/>
            <w:sz w:val="20"/>
            <w:szCs w:val="20"/>
          </w:rPr>
          <w:t xml:space="preserve">, A. </w:t>
        </w:r>
        <w:proofErr w:type="spellStart"/>
        <w:r w:rsidR="00860896" w:rsidRPr="00536B92">
          <w:rPr>
            <w:rFonts w:asciiTheme="majorBidi" w:hAnsiTheme="majorBidi" w:cstheme="majorBidi"/>
            <w:color w:val="auto"/>
            <w:sz w:val="20"/>
            <w:szCs w:val="20"/>
          </w:rPr>
          <w:t>Dacrema</w:t>
        </w:r>
        <w:proofErr w:type="spellEnd"/>
        <w:r w:rsidR="00860896" w:rsidRPr="00536B92">
          <w:rPr>
            <w:rFonts w:asciiTheme="majorBidi" w:hAnsiTheme="majorBidi" w:cstheme="majorBidi"/>
            <w:color w:val="auto"/>
            <w:sz w:val="20"/>
            <w:szCs w:val="20"/>
          </w:rPr>
          <w:t xml:space="preserve">, et al., Lactate </w:t>
        </w:r>
      </w:hyperlink>
      <w:hyperlink r:id="rId216">
        <w:r w:rsidR="00860896" w:rsidRPr="00536B92">
          <w:rPr>
            <w:rFonts w:asciiTheme="majorBidi" w:hAnsiTheme="majorBidi" w:cstheme="majorBidi"/>
            <w:color w:val="auto"/>
            <w:sz w:val="20"/>
            <w:szCs w:val="20"/>
          </w:rPr>
          <w:t xml:space="preserve">dehydrogenase and C-reactive protein as predictors of respiratory failure in </w:t>
        </w:r>
        <w:proofErr w:type="spellStart"/>
        <w:r w:rsidR="00860896" w:rsidRPr="00536B92">
          <w:rPr>
            <w:rFonts w:asciiTheme="majorBidi" w:hAnsiTheme="majorBidi" w:cstheme="majorBidi"/>
            <w:color w:val="auto"/>
            <w:sz w:val="20"/>
            <w:szCs w:val="20"/>
          </w:rPr>
          <w:t>CoVID</w:t>
        </w:r>
        <w:proofErr w:type="spellEnd"/>
        <w:r w:rsidR="00860896" w:rsidRPr="00536B92">
          <w:rPr>
            <w:rFonts w:asciiTheme="majorBidi" w:hAnsiTheme="majorBidi" w:cstheme="majorBidi"/>
            <w:color w:val="auto"/>
            <w:sz w:val="20"/>
            <w:szCs w:val="20"/>
          </w:rPr>
          <w:t xml:space="preserve">- </w:t>
        </w:r>
      </w:hyperlink>
      <w:hyperlink r:id="rId217">
        <w:r w:rsidR="00860896" w:rsidRPr="00536B92">
          <w:rPr>
            <w:rFonts w:asciiTheme="majorBidi" w:hAnsiTheme="majorBidi" w:cstheme="majorBidi"/>
            <w:color w:val="auto"/>
            <w:sz w:val="20"/>
            <w:szCs w:val="20"/>
          </w:rPr>
          <w:t xml:space="preserve">19 patients, </w:t>
        </w:r>
        <w:proofErr w:type="spellStart"/>
        <w:r w:rsidR="00860896" w:rsidRPr="00536B92">
          <w:rPr>
            <w:rFonts w:asciiTheme="majorBidi" w:hAnsiTheme="majorBidi" w:cstheme="majorBidi"/>
            <w:color w:val="auto"/>
            <w:sz w:val="20"/>
            <w:szCs w:val="20"/>
          </w:rPr>
          <w:t>Clin</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Chim</w:t>
        </w:r>
        <w:proofErr w:type="spellEnd"/>
        <w:r w:rsidR="00860896" w:rsidRPr="00536B92">
          <w:rPr>
            <w:rFonts w:asciiTheme="majorBidi" w:hAnsiTheme="majorBidi" w:cstheme="majorBidi"/>
            <w:color w:val="auto"/>
            <w:sz w:val="20"/>
            <w:szCs w:val="20"/>
          </w:rPr>
          <w:t xml:space="preserve">. </w:t>
        </w:r>
        <w:proofErr w:type="spellStart"/>
        <w:r w:rsidR="00860896" w:rsidRPr="00536B92">
          <w:rPr>
            <w:rFonts w:asciiTheme="majorBidi" w:hAnsiTheme="majorBidi" w:cstheme="majorBidi"/>
            <w:color w:val="auto"/>
            <w:sz w:val="20"/>
            <w:szCs w:val="20"/>
          </w:rPr>
          <w:t>Acta</w:t>
        </w:r>
        <w:proofErr w:type="spellEnd"/>
        <w:r w:rsidR="00860896" w:rsidRPr="00536B92">
          <w:rPr>
            <w:rFonts w:asciiTheme="majorBidi" w:hAnsiTheme="majorBidi" w:cstheme="majorBidi"/>
            <w:color w:val="auto"/>
            <w:sz w:val="20"/>
            <w:szCs w:val="20"/>
          </w:rPr>
          <w:t xml:space="preserve"> 509 (2020) 135</w:t>
        </w:r>
      </w:hyperlink>
      <w:hyperlink r:id="rId218">
        <w:r w:rsidR="00860896" w:rsidRPr="00536B92">
          <w:rPr>
            <w:rFonts w:asciiTheme="majorBidi" w:hAnsiTheme="majorBidi" w:cstheme="majorBidi"/>
            <w:color w:val="auto"/>
            <w:sz w:val="20"/>
            <w:szCs w:val="20"/>
          </w:rPr>
          <w:t>–</w:t>
        </w:r>
      </w:hyperlink>
      <w:hyperlink r:id="rId219">
        <w:r w:rsidR="00860896" w:rsidRPr="00536B92">
          <w:rPr>
            <w:rFonts w:asciiTheme="majorBidi" w:hAnsiTheme="majorBidi" w:cstheme="majorBidi"/>
            <w:color w:val="auto"/>
            <w:sz w:val="20"/>
            <w:szCs w:val="20"/>
          </w:rPr>
          <w:t>138</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after="0" w:line="247" w:lineRule="auto"/>
        <w:ind w:right="26" w:hanging="331"/>
        <w:rPr>
          <w:rFonts w:asciiTheme="majorBidi" w:hAnsiTheme="majorBidi" w:cstheme="majorBidi"/>
          <w:color w:val="auto"/>
          <w:sz w:val="20"/>
          <w:szCs w:val="20"/>
        </w:rPr>
      </w:pPr>
      <w:hyperlink r:id="rId220">
        <w:r w:rsidR="00860896" w:rsidRPr="00536B92">
          <w:rPr>
            <w:rFonts w:asciiTheme="majorBidi" w:hAnsiTheme="majorBidi" w:cstheme="majorBidi"/>
            <w:color w:val="auto"/>
            <w:sz w:val="20"/>
            <w:szCs w:val="20"/>
          </w:rPr>
          <w:t xml:space="preserve">Y. Lu, X. Li, D. </w:t>
        </w:r>
        <w:proofErr w:type="spellStart"/>
        <w:r w:rsidR="00860896" w:rsidRPr="00536B92">
          <w:rPr>
            <w:rFonts w:asciiTheme="majorBidi" w:hAnsiTheme="majorBidi" w:cstheme="majorBidi"/>
            <w:color w:val="auto"/>
            <w:sz w:val="20"/>
            <w:szCs w:val="20"/>
          </w:rPr>
          <w:t>Geng</w:t>
        </w:r>
        <w:proofErr w:type="spellEnd"/>
        <w:r w:rsidR="00860896" w:rsidRPr="00536B92">
          <w:rPr>
            <w:rFonts w:asciiTheme="majorBidi" w:hAnsiTheme="majorBidi" w:cstheme="majorBidi"/>
            <w:color w:val="auto"/>
            <w:sz w:val="20"/>
            <w:szCs w:val="20"/>
          </w:rPr>
          <w:t>, N. Mei, P.-Y. Wu, C.-C. Huang, et al., Cerebral micro-</w:t>
        </w:r>
      </w:hyperlink>
      <w:r w:rsidR="00860896" w:rsidRPr="00536B92">
        <w:rPr>
          <w:rFonts w:asciiTheme="majorBidi" w:hAnsiTheme="majorBidi" w:cstheme="majorBidi"/>
          <w:color w:val="auto"/>
          <w:sz w:val="20"/>
          <w:szCs w:val="20"/>
        </w:rPr>
        <w:t xml:space="preserve"> </w:t>
      </w:r>
      <w:hyperlink r:id="rId221">
        <w:r w:rsidR="00860896" w:rsidRPr="00536B92">
          <w:rPr>
            <w:rFonts w:asciiTheme="majorBidi" w:hAnsiTheme="majorBidi" w:cstheme="majorBidi"/>
            <w:color w:val="auto"/>
            <w:sz w:val="20"/>
            <w:szCs w:val="20"/>
          </w:rPr>
          <w:t>structural changes in COVID-19 patients</w:t>
        </w:r>
      </w:hyperlink>
      <w:hyperlink r:id="rId222">
        <w:r w:rsidR="00860896" w:rsidRPr="00536B92">
          <w:rPr>
            <w:rFonts w:asciiTheme="majorBidi" w:hAnsiTheme="majorBidi" w:cstheme="majorBidi"/>
            <w:color w:val="auto"/>
            <w:sz w:val="20"/>
            <w:szCs w:val="20"/>
          </w:rPr>
          <w:t>–</w:t>
        </w:r>
      </w:hyperlink>
      <w:hyperlink r:id="rId223">
        <w:r w:rsidR="00860896" w:rsidRPr="00536B92">
          <w:rPr>
            <w:rFonts w:asciiTheme="majorBidi" w:hAnsiTheme="majorBidi" w:cstheme="majorBidi"/>
            <w:color w:val="auto"/>
            <w:sz w:val="20"/>
            <w:szCs w:val="20"/>
          </w:rPr>
          <w:t>an MRI-based 3-month follow-up study,</w:t>
        </w:r>
      </w:hyperlink>
      <w:r w:rsidR="00860896" w:rsidRPr="00536B92">
        <w:rPr>
          <w:rFonts w:asciiTheme="majorBidi" w:hAnsiTheme="majorBidi" w:cstheme="majorBidi"/>
          <w:color w:val="auto"/>
          <w:sz w:val="20"/>
          <w:szCs w:val="20"/>
        </w:rPr>
        <w:t xml:space="preserve"> </w:t>
      </w:r>
      <w:hyperlink r:id="rId224">
        <w:proofErr w:type="spellStart"/>
        <w:r w:rsidR="00860896" w:rsidRPr="00536B92">
          <w:rPr>
            <w:rFonts w:asciiTheme="majorBidi" w:hAnsiTheme="majorBidi" w:cstheme="majorBidi"/>
            <w:color w:val="auto"/>
            <w:sz w:val="20"/>
            <w:szCs w:val="20"/>
          </w:rPr>
          <w:t>EClinicalMedicine</w:t>
        </w:r>
        <w:proofErr w:type="spellEnd"/>
        <w:r w:rsidR="00860896" w:rsidRPr="00536B92">
          <w:rPr>
            <w:rFonts w:asciiTheme="majorBidi" w:hAnsiTheme="majorBidi" w:cstheme="majorBidi"/>
            <w:color w:val="auto"/>
            <w:sz w:val="20"/>
            <w:szCs w:val="20"/>
          </w:rPr>
          <w:t xml:space="preserve"> 25 (2020)</w:t>
        </w:r>
      </w:hyperlink>
      <w:hyperlink r:id="rId225">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26">
        <w:r w:rsidR="00860896" w:rsidRPr="00536B92">
          <w:rPr>
            <w:rFonts w:asciiTheme="majorBidi" w:hAnsiTheme="majorBidi" w:cstheme="majorBidi"/>
            <w:color w:val="auto"/>
            <w:sz w:val="20"/>
            <w:szCs w:val="20"/>
          </w:rPr>
          <w:t xml:space="preserve">H.-K. </w:t>
        </w:r>
        <w:proofErr w:type="spellStart"/>
        <w:r w:rsidR="00860896" w:rsidRPr="00536B92">
          <w:rPr>
            <w:rFonts w:asciiTheme="majorBidi" w:hAnsiTheme="majorBidi" w:cstheme="majorBidi"/>
            <w:color w:val="auto"/>
            <w:sz w:val="20"/>
            <w:szCs w:val="20"/>
          </w:rPr>
          <w:t>Kuo</w:t>
        </w:r>
        <w:proofErr w:type="spellEnd"/>
        <w:r w:rsidR="00860896" w:rsidRPr="00536B92">
          <w:rPr>
            <w:rFonts w:asciiTheme="majorBidi" w:hAnsiTheme="majorBidi" w:cstheme="majorBidi"/>
            <w:color w:val="auto"/>
            <w:sz w:val="20"/>
            <w:szCs w:val="20"/>
          </w:rPr>
          <w:t xml:space="preserve">, C.-J. Yen, C.-H. Chang, C.-K. </w:t>
        </w:r>
        <w:proofErr w:type="spellStart"/>
        <w:r w:rsidR="00860896" w:rsidRPr="00536B92">
          <w:rPr>
            <w:rFonts w:asciiTheme="majorBidi" w:hAnsiTheme="majorBidi" w:cstheme="majorBidi"/>
            <w:color w:val="auto"/>
            <w:sz w:val="20"/>
            <w:szCs w:val="20"/>
          </w:rPr>
          <w:t>Kuo</w:t>
        </w:r>
        <w:proofErr w:type="spellEnd"/>
        <w:r w:rsidR="00860896" w:rsidRPr="00536B92">
          <w:rPr>
            <w:rFonts w:asciiTheme="majorBidi" w:hAnsiTheme="majorBidi" w:cstheme="majorBidi"/>
            <w:color w:val="auto"/>
            <w:sz w:val="20"/>
            <w:szCs w:val="20"/>
          </w:rPr>
          <w:t xml:space="preserve">, J.-H. Chen, F. </w:t>
        </w:r>
        <w:proofErr w:type="spellStart"/>
        <w:r w:rsidR="00860896" w:rsidRPr="00536B92">
          <w:rPr>
            <w:rFonts w:asciiTheme="majorBidi" w:hAnsiTheme="majorBidi" w:cstheme="majorBidi"/>
            <w:color w:val="auto"/>
            <w:sz w:val="20"/>
            <w:szCs w:val="20"/>
          </w:rPr>
          <w:t>Sorond</w:t>
        </w:r>
        <w:proofErr w:type="spellEnd"/>
        <w:r w:rsidR="00860896" w:rsidRPr="00536B92">
          <w:rPr>
            <w:rFonts w:asciiTheme="majorBidi" w:hAnsiTheme="majorBidi" w:cstheme="majorBidi"/>
            <w:color w:val="auto"/>
            <w:sz w:val="20"/>
            <w:szCs w:val="20"/>
          </w:rPr>
          <w:t>, Relation of C-</w:t>
        </w:r>
      </w:hyperlink>
      <w:r w:rsidR="00860896" w:rsidRPr="00536B92">
        <w:rPr>
          <w:rFonts w:asciiTheme="majorBidi" w:hAnsiTheme="majorBidi" w:cstheme="majorBidi"/>
          <w:color w:val="auto"/>
          <w:sz w:val="20"/>
          <w:szCs w:val="20"/>
        </w:rPr>
        <w:t xml:space="preserve"> </w:t>
      </w:r>
      <w:hyperlink r:id="rId227">
        <w:r w:rsidR="00860896" w:rsidRPr="00536B92">
          <w:rPr>
            <w:rFonts w:asciiTheme="majorBidi" w:hAnsiTheme="majorBidi" w:cstheme="majorBidi"/>
            <w:color w:val="auto"/>
            <w:sz w:val="20"/>
            <w:szCs w:val="20"/>
          </w:rPr>
          <w:t xml:space="preserve">reactive protein to stroke, cognitive disorders, and depression in the general </w:t>
        </w:r>
      </w:hyperlink>
      <w:hyperlink r:id="rId228">
        <w:r w:rsidR="00860896" w:rsidRPr="00536B92">
          <w:rPr>
            <w:rFonts w:asciiTheme="majorBidi" w:hAnsiTheme="majorBidi" w:cstheme="majorBidi"/>
            <w:color w:val="auto"/>
            <w:sz w:val="20"/>
            <w:szCs w:val="20"/>
          </w:rPr>
          <w:t xml:space="preserve">population: systematic review and meta-analysis, Lancet Neurol. 4 (6) (2005) </w:t>
        </w:r>
      </w:hyperlink>
    </w:p>
    <w:p w:rsidR="001F47D8" w:rsidRPr="00536B92" w:rsidRDefault="00536B92">
      <w:pPr>
        <w:spacing w:line="252" w:lineRule="auto"/>
        <w:ind w:left="331" w:right="26" w:firstLine="0"/>
        <w:rPr>
          <w:rFonts w:asciiTheme="majorBidi" w:hAnsiTheme="majorBidi" w:cstheme="majorBidi"/>
          <w:color w:val="auto"/>
          <w:sz w:val="20"/>
          <w:szCs w:val="20"/>
        </w:rPr>
      </w:pPr>
      <w:hyperlink r:id="rId229">
        <w:r w:rsidR="00860896" w:rsidRPr="00536B92">
          <w:rPr>
            <w:rFonts w:asciiTheme="majorBidi" w:hAnsiTheme="majorBidi" w:cstheme="majorBidi"/>
            <w:color w:val="auto"/>
            <w:sz w:val="20"/>
            <w:szCs w:val="20"/>
          </w:rPr>
          <w:t>371</w:t>
        </w:r>
      </w:hyperlink>
      <w:hyperlink r:id="rId230">
        <w:r w:rsidR="00860896" w:rsidRPr="00536B92">
          <w:rPr>
            <w:rFonts w:asciiTheme="majorBidi" w:hAnsiTheme="majorBidi" w:cstheme="majorBidi"/>
            <w:color w:val="auto"/>
            <w:sz w:val="20"/>
            <w:szCs w:val="20"/>
          </w:rPr>
          <w:t>–</w:t>
        </w:r>
      </w:hyperlink>
      <w:hyperlink r:id="rId231">
        <w:r w:rsidR="00860896" w:rsidRPr="00536B92">
          <w:rPr>
            <w:rFonts w:asciiTheme="majorBidi" w:hAnsiTheme="majorBidi" w:cstheme="majorBidi"/>
            <w:color w:val="auto"/>
            <w:sz w:val="20"/>
            <w:szCs w:val="20"/>
          </w:rPr>
          <w:t>380</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32">
        <w:r w:rsidR="00860896" w:rsidRPr="00536B92">
          <w:rPr>
            <w:rFonts w:asciiTheme="majorBidi" w:hAnsiTheme="majorBidi" w:cstheme="majorBidi"/>
            <w:color w:val="auto"/>
            <w:sz w:val="20"/>
            <w:szCs w:val="20"/>
          </w:rPr>
          <w:t xml:space="preserve">H. Zhou, S. Lu, J. Chen, N. Wei, D. Wang, H. </w:t>
        </w:r>
        <w:proofErr w:type="spellStart"/>
        <w:r w:rsidR="00860896" w:rsidRPr="00536B92">
          <w:rPr>
            <w:rFonts w:asciiTheme="majorBidi" w:hAnsiTheme="majorBidi" w:cstheme="majorBidi"/>
            <w:color w:val="auto"/>
            <w:sz w:val="20"/>
            <w:szCs w:val="20"/>
          </w:rPr>
          <w:t>Lyu</w:t>
        </w:r>
        <w:proofErr w:type="spellEnd"/>
        <w:r w:rsidR="00860896" w:rsidRPr="00536B92">
          <w:rPr>
            <w:rFonts w:asciiTheme="majorBidi" w:hAnsiTheme="majorBidi" w:cstheme="majorBidi"/>
            <w:color w:val="auto"/>
            <w:sz w:val="20"/>
            <w:szCs w:val="20"/>
          </w:rPr>
          <w:t>, et al., The landscape of cognitive</w:t>
        </w:r>
      </w:hyperlink>
      <w:r w:rsidR="00860896" w:rsidRPr="00536B92">
        <w:rPr>
          <w:rFonts w:asciiTheme="majorBidi" w:hAnsiTheme="majorBidi" w:cstheme="majorBidi"/>
          <w:color w:val="auto"/>
          <w:sz w:val="20"/>
          <w:szCs w:val="20"/>
        </w:rPr>
        <w:t xml:space="preserve"> </w:t>
      </w:r>
      <w:hyperlink r:id="rId233">
        <w:r w:rsidR="00860896" w:rsidRPr="00536B92">
          <w:rPr>
            <w:rFonts w:asciiTheme="majorBidi" w:hAnsiTheme="majorBidi" w:cstheme="majorBidi"/>
            <w:color w:val="auto"/>
            <w:sz w:val="20"/>
            <w:szCs w:val="20"/>
          </w:rPr>
          <w:t xml:space="preserve">function in recovered COVID-19 patients, J. </w:t>
        </w:r>
        <w:proofErr w:type="spellStart"/>
        <w:r w:rsidR="00860896" w:rsidRPr="00536B92">
          <w:rPr>
            <w:rFonts w:asciiTheme="majorBidi" w:hAnsiTheme="majorBidi" w:cstheme="majorBidi"/>
            <w:color w:val="auto"/>
            <w:sz w:val="20"/>
            <w:szCs w:val="20"/>
          </w:rPr>
          <w:t>Psychiatr</w:t>
        </w:r>
        <w:proofErr w:type="spellEnd"/>
        <w:r w:rsidR="00860896" w:rsidRPr="00536B92">
          <w:rPr>
            <w:rFonts w:asciiTheme="majorBidi" w:hAnsiTheme="majorBidi" w:cstheme="majorBidi"/>
            <w:color w:val="auto"/>
            <w:sz w:val="20"/>
            <w:szCs w:val="20"/>
          </w:rPr>
          <w:t>. Res. 129 (2020) 98</w:t>
        </w:r>
      </w:hyperlink>
      <w:hyperlink r:id="rId234">
        <w:r w:rsidR="00860896" w:rsidRPr="00536B92">
          <w:rPr>
            <w:rFonts w:asciiTheme="majorBidi" w:hAnsiTheme="majorBidi" w:cstheme="majorBidi"/>
            <w:color w:val="auto"/>
            <w:sz w:val="20"/>
            <w:szCs w:val="20"/>
          </w:rPr>
          <w:t>–</w:t>
        </w:r>
      </w:hyperlink>
      <w:hyperlink r:id="rId235">
        <w:r w:rsidR="00860896" w:rsidRPr="00536B92">
          <w:rPr>
            <w:rFonts w:asciiTheme="majorBidi" w:hAnsiTheme="majorBidi" w:cstheme="majorBidi"/>
            <w:color w:val="auto"/>
            <w:sz w:val="20"/>
            <w:szCs w:val="20"/>
          </w:rPr>
          <w:t>102</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36">
        <w:r w:rsidR="00860896" w:rsidRPr="00536B92">
          <w:rPr>
            <w:rFonts w:asciiTheme="majorBidi" w:hAnsiTheme="majorBidi" w:cstheme="majorBidi"/>
            <w:color w:val="auto"/>
            <w:sz w:val="20"/>
            <w:szCs w:val="20"/>
          </w:rPr>
          <w:t xml:space="preserve">M. </w:t>
        </w:r>
        <w:proofErr w:type="spellStart"/>
        <w:r w:rsidR="00860896" w:rsidRPr="00536B92">
          <w:rPr>
            <w:rFonts w:asciiTheme="majorBidi" w:hAnsiTheme="majorBidi" w:cstheme="majorBidi"/>
            <w:color w:val="auto"/>
            <w:sz w:val="20"/>
            <w:szCs w:val="20"/>
          </w:rPr>
          <w:t>Taquet</w:t>
        </w:r>
        <w:proofErr w:type="spellEnd"/>
        <w:r w:rsidR="00860896" w:rsidRPr="00536B92">
          <w:rPr>
            <w:rFonts w:asciiTheme="majorBidi" w:hAnsiTheme="majorBidi" w:cstheme="majorBidi"/>
            <w:color w:val="auto"/>
            <w:sz w:val="20"/>
            <w:szCs w:val="20"/>
          </w:rPr>
          <w:t xml:space="preserve">, Z. </w:t>
        </w:r>
        <w:proofErr w:type="spellStart"/>
        <w:r w:rsidR="00860896" w:rsidRPr="00536B92">
          <w:rPr>
            <w:rFonts w:asciiTheme="majorBidi" w:hAnsiTheme="majorBidi" w:cstheme="majorBidi"/>
            <w:color w:val="auto"/>
            <w:sz w:val="20"/>
            <w:szCs w:val="20"/>
          </w:rPr>
          <w:t>Skorniewska</w:t>
        </w:r>
        <w:proofErr w:type="spellEnd"/>
        <w:r w:rsidR="00860896" w:rsidRPr="00536B92">
          <w:rPr>
            <w:rFonts w:asciiTheme="majorBidi" w:hAnsiTheme="majorBidi" w:cstheme="majorBidi"/>
            <w:color w:val="auto"/>
            <w:sz w:val="20"/>
            <w:szCs w:val="20"/>
          </w:rPr>
          <w:t>, A. Hampshire, J.D. Chalmers, L.-P. Ho, A. Horsley, et</w:t>
        </w:r>
      </w:hyperlink>
      <w:r w:rsidR="00860896" w:rsidRPr="00536B92">
        <w:rPr>
          <w:rFonts w:asciiTheme="majorBidi" w:hAnsiTheme="majorBidi" w:cstheme="majorBidi"/>
          <w:color w:val="auto"/>
          <w:sz w:val="20"/>
          <w:szCs w:val="20"/>
        </w:rPr>
        <w:t xml:space="preserve"> </w:t>
      </w:r>
      <w:hyperlink r:id="rId237">
        <w:r w:rsidR="00860896" w:rsidRPr="00536B92">
          <w:rPr>
            <w:rFonts w:asciiTheme="majorBidi" w:hAnsiTheme="majorBidi" w:cstheme="majorBidi"/>
            <w:color w:val="auto"/>
            <w:sz w:val="20"/>
            <w:szCs w:val="20"/>
          </w:rPr>
          <w:t>al., Acute blood biomarker profiles predict cognitive deficits 6 and 12 months after</w:t>
        </w:r>
      </w:hyperlink>
      <w:r w:rsidR="00860896" w:rsidRPr="00536B92">
        <w:rPr>
          <w:rFonts w:asciiTheme="majorBidi" w:hAnsiTheme="majorBidi" w:cstheme="majorBidi"/>
          <w:color w:val="auto"/>
          <w:sz w:val="20"/>
          <w:szCs w:val="20"/>
        </w:rPr>
        <w:t xml:space="preserve"> </w:t>
      </w:r>
      <w:hyperlink r:id="rId238">
        <w:r w:rsidR="00860896" w:rsidRPr="00536B92">
          <w:rPr>
            <w:rFonts w:asciiTheme="majorBidi" w:hAnsiTheme="majorBidi" w:cstheme="majorBidi"/>
            <w:color w:val="auto"/>
            <w:sz w:val="20"/>
            <w:szCs w:val="20"/>
          </w:rPr>
          <w:t>COVID-19 hospitalization, Nat. Med. 29 (10) (2023) 2498</w:t>
        </w:r>
      </w:hyperlink>
      <w:hyperlink r:id="rId239">
        <w:r w:rsidR="00860896" w:rsidRPr="00536B92">
          <w:rPr>
            <w:rFonts w:asciiTheme="majorBidi" w:hAnsiTheme="majorBidi" w:cstheme="majorBidi"/>
            <w:color w:val="auto"/>
            <w:sz w:val="20"/>
            <w:szCs w:val="20"/>
          </w:rPr>
          <w:t>–</w:t>
        </w:r>
      </w:hyperlink>
      <w:hyperlink r:id="rId240">
        <w:r w:rsidR="00860896" w:rsidRPr="00536B92">
          <w:rPr>
            <w:rFonts w:asciiTheme="majorBidi" w:hAnsiTheme="majorBidi" w:cstheme="majorBidi"/>
            <w:color w:val="auto"/>
            <w:sz w:val="20"/>
            <w:szCs w:val="20"/>
          </w:rPr>
          <w:t>2508</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41">
        <w:r w:rsidR="00860896" w:rsidRPr="00536B92">
          <w:rPr>
            <w:rFonts w:asciiTheme="majorBidi" w:hAnsiTheme="majorBidi" w:cstheme="majorBidi"/>
            <w:color w:val="auto"/>
            <w:sz w:val="20"/>
            <w:szCs w:val="20"/>
          </w:rPr>
          <w:t xml:space="preserve">J.J. Choi, G.T. </w:t>
        </w:r>
        <w:proofErr w:type="spellStart"/>
        <w:r w:rsidR="00860896" w:rsidRPr="00536B92">
          <w:rPr>
            <w:rFonts w:asciiTheme="majorBidi" w:hAnsiTheme="majorBidi" w:cstheme="majorBidi"/>
            <w:color w:val="auto"/>
            <w:sz w:val="20"/>
            <w:szCs w:val="20"/>
          </w:rPr>
          <w:t>Wehmeyer</w:t>
        </w:r>
        <w:proofErr w:type="spellEnd"/>
        <w:r w:rsidR="00860896" w:rsidRPr="00536B92">
          <w:rPr>
            <w:rFonts w:asciiTheme="majorBidi" w:hAnsiTheme="majorBidi" w:cstheme="majorBidi"/>
            <w:color w:val="auto"/>
            <w:sz w:val="20"/>
            <w:szCs w:val="20"/>
          </w:rPr>
          <w:t xml:space="preserve">, H.A. Li, M.N. </w:t>
        </w:r>
        <w:proofErr w:type="spellStart"/>
        <w:r w:rsidR="00860896" w:rsidRPr="00536B92">
          <w:rPr>
            <w:rFonts w:asciiTheme="majorBidi" w:hAnsiTheme="majorBidi" w:cstheme="majorBidi"/>
            <w:color w:val="auto"/>
            <w:sz w:val="20"/>
            <w:szCs w:val="20"/>
          </w:rPr>
          <w:t>Alshak</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Nahid</w:t>
        </w:r>
        <w:proofErr w:type="spellEnd"/>
        <w:r w:rsidR="00860896" w:rsidRPr="00536B92">
          <w:rPr>
            <w:rFonts w:asciiTheme="majorBidi" w:hAnsiTheme="majorBidi" w:cstheme="majorBidi"/>
            <w:color w:val="auto"/>
            <w:sz w:val="20"/>
            <w:szCs w:val="20"/>
          </w:rPr>
          <w:t xml:space="preserve">, M. </w:t>
        </w:r>
        <w:proofErr w:type="spellStart"/>
        <w:r w:rsidR="00860896" w:rsidRPr="00536B92">
          <w:rPr>
            <w:rFonts w:asciiTheme="majorBidi" w:hAnsiTheme="majorBidi" w:cstheme="majorBidi"/>
            <w:color w:val="auto"/>
            <w:sz w:val="20"/>
            <w:szCs w:val="20"/>
          </w:rPr>
          <w:t>Rajan</w:t>
        </w:r>
        <w:proofErr w:type="spellEnd"/>
        <w:r w:rsidR="00860896" w:rsidRPr="00536B92">
          <w:rPr>
            <w:rFonts w:asciiTheme="majorBidi" w:hAnsiTheme="majorBidi" w:cstheme="majorBidi"/>
            <w:color w:val="auto"/>
            <w:sz w:val="20"/>
            <w:szCs w:val="20"/>
          </w:rPr>
          <w:t>, et al., D-dimer</w:t>
        </w:r>
      </w:hyperlink>
      <w:r w:rsidR="00860896" w:rsidRPr="00536B92">
        <w:rPr>
          <w:rFonts w:asciiTheme="majorBidi" w:hAnsiTheme="majorBidi" w:cstheme="majorBidi"/>
          <w:color w:val="auto"/>
          <w:sz w:val="20"/>
          <w:szCs w:val="20"/>
        </w:rPr>
        <w:t xml:space="preserve"> </w:t>
      </w:r>
      <w:hyperlink r:id="rId242">
        <w:r w:rsidR="00860896" w:rsidRPr="00536B92">
          <w:rPr>
            <w:rFonts w:asciiTheme="majorBidi" w:hAnsiTheme="majorBidi" w:cstheme="majorBidi"/>
            <w:color w:val="auto"/>
            <w:sz w:val="20"/>
            <w:szCs w:val="20"/>
          </w:rPr>
          <w:t>cut-off points and risk of venous thromboembolism in adult hospitalized patients</w:t>
        </w:r>
      </w:hyperlink>
      <w:r w:rsidR="00860896" w:rsidRPr="00536B92">
        <w:rPr>
          <w:rFonts w:asciiTheme="majorBidi" w:hAnsiTheme="majorBidi" w:cstheme="majorBidi"/>
          <w:color w:val="auto"/>
          <w:sz w:val="20"/>
          <w:szCs w:val="20"/>
        </w:rPr>
        <w:t xml:space="preserve"> </w:t>
      </w:r>
      <w:hyperlink r:id="rId243">
        <w:r w:rsidR="00860896" w:rsidRPr="00536B92">
          <w:rPr>
            <w:rFonts w:asciiTheme="majorBidi" w:hAnsiTheme="majorBidi" w:cstheme="majorBidi"/>
            <w:color w:val="auto"/>
            <w:sz w:val="20"/>
            <w:szCs w:val="20"/>
          </w:rPr>
          <w:t xml:space="preserve">with COVID-19, </w:t>
        </w:r>
        <w:proofErr w:type="spellStart"/>
        <w:r w:rsidR="00860896" w:rsidRPr="00536B92">
          <w:rPr>
            <w:rFonts w:asciiTheme="majorBidi" w:hAnsiTheme="majorBidi" w:cstheme="majorBidi"/>
            <w:color w:val="auto"/>
            <w:sz w:val="20"/>
            <w:szCs w:val="20"/>
          </w:rPr>
          <w:t>Thromb</w:t>
        </w:r>
        <w:proofErr w:type="spellEnd"/>
        <w:r w:rsidR="00860896" w:rsidRPr="00536B92">
          <w:rPr>
            <w:rFonts w:asciiTheme="majorBidi" w:hAnsiTheme="majorBidi" w:cstheme="majorBidi"/>
            <w:color w:val="auto"/>
            <w:sz w:val="20"/>
            <w:szCs w:val="20"/>
          </w:rPr>
          <w:t>. Res. 196 (2020) 318</w:t>
        </w:r>
      </w:hyperlink>
      <w:hyperlink r:id="rId244">
        <w:r w:rsidR="00860896" w:rsidRPr="00536B92">
          <w:rPr>
            <w:rFonts w:asciiTheme="majorBidi" w:hAnsiTheme="majorBidi" w:cstheme="majorBidi"/>
            <w:color w:val="auto"/>
            <w:sz w:val="20"/>
            <w:szCs w:val="20"/>
          </w:rPr>
          <w:t>–</w:t>
        </w:r>
      </w:hyperlink>
      <w:hyperlink r:id="rId245">
        <w:r w:rsidR="00860896" w:rsidRPr="00536B92">
          <w:rPr>
            <w:rFonts w:asciiTheme="majorBidi" w:hAnsiTheme="majorBidi" w:cstheme="majorBidi"/>
            <w:color w:val="auto"/>
            <w:sz w:val="20"/>
            <w:szCs w:val="20"/>
          </w:rPr>
          <w:t>321</w:t>
        </w:r>
      </w:hyperlink>
      <w:r w:rsidR="00860896" w:rsidRPr="00536B92">
        <w:rPr>
          <w:rFonts w:asciiTheme="majorBidi" w:hAnsiTheme="majorBidi" w:cstheme="majorBidi"/>
          <w:color w:val="auto"/>
          <w:sz w:val="20"/>
          <w:szCs w:val="20"/>
        </w:rPr>
        <w:t xml:space="preserve">. </w:t>
      </w:r>
    </w:p>
    <w:p w:rsidR="001F47D8" w:rsidRPr="00536B92" w:rsidRDefault="00536B92">
      <w:pPr>
        <w:numPr>
          <w:ilvl w:val="0"/>
          <w:numId w:val="2"/>
        </w:numPr>
        <w:spacing w:line="252" w:lineRule="auto"/>
        <w:ind w:right="26" w:hanging="331"/>
        <w:rPr>
          <w:rFonts w:asciiTheme="majorBidi" w:hAnsiTheme="majorBidi" w:cstheme="majorBidi"/>
          <w:color w:val="auto"/>
          <w:sz w:val="20"/>
          <w:szCs w:val="20"/>
        </w:rPr>
      </w:pPr>
      <w:hyperlink r:id="rId246">
        <w:r w:rsidR="00860896" w:rsidRPr="00536B92">
          <w:rPr>
            <w:rFonts w:asciiTheme="majorBidi" w:hAnsiTheme="majorBidi" w:cstheme="majorBidi"/>
            <w:color w:val="auto"/>
            <w:sz w:val="20"/>
            <w:szCs w:val="20"/>
          </w:rPr>
          <w:t xml:space="preserve">M.H. Lee, D.P. Perl, J. Steiner, N. </w:t>
        </w:r>
        <w:proofErr w:type="spellStart"/>
        <w:r w:rsidR="00860896" w:rsidRPr="00536B92">
          <w:rPr>
            <w:rFonts w:asciiTheme="majorBidi" w:hAnsiTheme="majorBidi" w:cstheme="majorBidi"/>
            <w:color w:val="auto"/>
            <w:sz w:val="20"/>
            <w:szCs w:val="20"/>
          </w:rPr>
          <w:t>Pasternack</w:t>
        </w:r>
        <w:proofErr w:type="spellEnd"/>
        <w:r w:rsidR="00860896" w:rsidRPr="00536B92">
          <w:rPr>
            <w:rFonts w:asciiTheme="majorBidi" w:hAnsiTheme="majorBidi" w:cstheme="majorBidi"/>
            <w:color w:val="auto"/>
            <w:sz w:val="20"/>
            <w:szCs w:val="20"/>
          </w:rPr>
          <w:t xml:space="preserve">, W. Li, D. </w:t>
        </w:r>
        <w:proofErr w:type="spellStart"/>
        <w:r w:rsidR="00860896" w:rsidRPr="00536B92">
          <w:rPr>
            <w:rFonts w:asciiTheme="majorBidi" w:hAnsiTheme="majorBidi" w:cstheme="majorBidi"/>
            <w:color w:val="auto"/>
            <w:sz w:val="20"/>
            <w:szCs w:val="20"/>
          </w:rPr>
          <w:t>Maric</w:t>
        </w:r>
        <w:proofErr w:type="spellEnd"/>
        <w:r w:rsidR="00860896" w:rsidRPr="00536B92">
          <w:rPr>
            <w:rFonts w:asciiTheme="majorBidi" w:hAnsiTheme="majorBidi" w:cstheme="majorBidi"/>
            <w:color w:val="auto"/>
            <w:sz w:val="20"/>
            <w:szCs w:val="20"/>
          </w:rPr>
          <w:t>, et al., Neurovascular</w:t>
        </w:r>
      </w:hyperlink>
      <w:r w:rsidR="00860896" w:rsidRPr="00536B92">
        <w:rPr>
          <w:rFonts w:asciiTheme="majorBidi" w:hAnsiTheme="majorBidi" w:cstheme="majorBidi"/>
          <w:color w:val="auto"/>
          <w:sz w:val="20"/>
          <w:szCs w:val="20"/>
        </w:rPr>
        <w:t xml:space="preserve"> </w:t>
      </w:r>
      <w:hyperlink r:id="rId247">
        <w:r w:rsidR="00860896" w:rsidRPr="00536B92">
          <w:rPr>
            <w:rFonts w:asciiTheme="majorBidi" w:hAnsiTheme="majorBidi" w:cstheme="majorBidi"/>
            <w:color w:val="auto"/>
            <w:sz w:val="20"/>
            <w:szCs w:val="20"/>
          </w:rPr>
          <w:t>injury with complement activation and inflammation in COVID-19, Brain 145 (7)</w:t>
        </w:r>
      </w:hyperlink>
      <w:r w:rsidR="00860896" w:rsidRPr="00536B92">
        <w:rPr>
          <w:rFonts w:asciiTheme="majorBidi" w:hAnsiTheme="majorBidi" w:cstheme="majorBidi"/>
          <w:color w:val="auto"/>
          <w:sz w:val="20"/>
          <w:szCs w:val="20"/>
        </w:rPr>
        <w:t xml:space="preserve"> </w:t>
      </w:r>
      <w:hyperlink r:id="rId248">
        <w:r w:rsidR="00860896" w:rsidRPr="00536B92">
          <w:rPr>
            <w:rFonts w:asciiTheme="majorBidi" w:hAnsiTheme="majorBidi" w:cstheme="majorBidi"/>
            <w:color w:val="auto"/>
            <w:sz w:val="20"/>
            <w:szCs w:val="20"/>
          </w:rPr>
          <w:t>(2022) 2555</w:t>
        </w:r>
      </w:hyperlink>
      <w:hyperlink r:id="rId249">
        <w:r w:rsidR="00860896" w:rsidRPr="00536B92">
          <w:rPr>
            <w:rFonts w:asciiTheme="majorBidi" w:hAnsiTheme="majorBidi" w:cstheme="majorBidi"/>
            <w:color w:val="auto"/>
            <w:sz w:val="20"/>
            <w:szCs w:val="20"/>
          </w:rPr>
          <w:t>–</w:t>
        </w:r>
      </w:hyperlink>
      <w:hyperlink r:id="rId250">
        <w:r w:rsidR="00860896" w:rsidRPr="00536B92">
          <w:rPr>
            <w:rFonts w:asciiTheme="majorBidi" w:hAnsiTheme="majorBidi" w:cstheme="majorBidi"/>
            <w:color w:val="auto"/>
            <w:sz w:val="20"/>
            <w:szCs w:val="20"/>
          </w:rPr>
          <w:t>2568</w:t>
        </w:r>
      </w:hyperlink>
      <w:hyperlink r:id="rId251">
        <w:r w:rsidR="00860896" w:rsidRPr="00536B92">
          <w:rPr>
            <w:rFonts w:asciiTheme="majorBidi" w:hAnsiTheme="majorBidi" w:cstheme="majorBidi"/>
            <w:color w:val="auto"/>
            <w:sz w:val="20"/>
            <w:szCs w:val="20"/>
          </w:rPr>
          <w:t>.</w:t>
        </w:r>
      </w:hyperlink>
      <w:r w:rsidR="00860896" w:rsidRPr="00536B92">
        <w:rPr>
          <w:rFonts w:asciiTheme="majorBidi" w:hAnsiTheme="majorBidi" w:cstheme="majorBidi"/>
          <w:color w:val="auto"/>
          <w:sz w:val="20"/>
          <w:szCs w:val="20"/>
        </w:rPr>
        <w:t xml:space="preserve"> </w:t>
      </w:r>
    </w:p>
    <w:sectPr w:rsidR="001F47D8" w:rsidRPr="00536B92" w:rsidSect="00F25244">
      <w:headerReference w:type="even" r:id="rId252"/>
      <w:headerReference w:type="default" r:id="rId253"/>
      <w:footerReference w:type="even" r:id="rId254"/>
      <w:footerReference w:type="default" r:id="rId255"/>
      <w:headerReference w:type="first" r:id="rId256"/>
      <w:footerReference w:type="first" r:id="rId257"/>
      <w:type w:val="continuous"/>
      <w:pgSz w:w="11906" w:h="15874"/>
      <w:pgMar w:top="1026" w:right="752" w:bottom="975" w:left="752" w:header="720" w:footer="720" w:gutter="0"/>
      <w:cols w:space="31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8E6" w:rsidRDefault="00C018E6">
      <w:pPr>
        <w:spacing w:after="0" w:line="240" w:lineRule="auto"/>
      </w:pPr>
      <w:r>
        <w:separator/>
      </w:r>
    </w:p>
  </w:endnote>
  <w:endnote w:type="continuationSeparator" w:id="0">
    <w:p w:rsidR="00C018E6" w:rsidRDefault="00C0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pPr>
      <w:spacing w:after="0" w:line="259" w:lineRule="auto"/>
      <w:ind w:left="17" w:right="0" w:firstLine="0"/>
      <w:jc w:val="center"/>
    </w:pPr>
    <w:r>
      <w:fldChar w:fldCharType="begin"/>
    </w:r>
    <w:r>
      <w:instrText xml:space="preserve"> PAGE   \* MERGEFORMAT </w:instrText>
    </w:r>
    <w:r>
      <w:fldChar w:fldCharType="separate"/>
    </w:r>
    <w:r>
      <w:rPr>
        <w:rFonts w:ascii="Times New Roman" w:eastAsia="Times New Roman" w:hAnsi="Times New Roman" w:cs="Times New Roman"/>
        <w:sz w:val="13"/>
      </w:rPr>
      <w:t>2</w:t>
    </w:r>
    <w:r>
      <w:rPr>
        <w:rFonts w:ascii="Times New Roman" w:eastAsia="Times New Roman" w:hAnsi="Times New Roman" w:cs="Times New Roman"/>
        <w:sz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pPr>
      <w:spacing w:after="0" w:line="259" w:lineRule="auto"/>
      <w:ind w:left="17" w:right="0" w:firstLine="0"/>
      <w:jc w:val="center"/>
    </w:pPr>
    <w:r>
      <w:fldChar w:fldCharType="begin"/>
    </w:r>
    <w:r>
      <w:instrText xml:space="preserve"> PAGE   \* MERGEFORMAT </w:instrText>
    </w:r>
    <w:r>
      <w:fldChar w:fldCharType="separate"/>
    </w:r>
    <w:r w:rsidR="00A76678" w:rsidRPr="00A76678">
      <w:rPr>
        <w:rFonts w:ascii="Times New Roman" w:eastAsia="Times New Roman" w:hAnsi="Times New Roman" w:cs="Times New Roman"/>
        <w:noProof/>
        <w:sz w:val="13"/>
      </w:rPr>
      <w:t>1</w:t>
    </w:r>
    <w:r>
      <w:rPr>
        <w:rFonts w:ascii="Times New Roman" w:eastAsia="Times New Roman" w:hAnsi="Times New Roman" w:cs="Times New Roman"/>
        <w:sz w:val="13"/>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8E6" w:rsidRDefault="00C018E6">
      <w:pPr>
        <w:spacing w:after="0" w:line="240" w:lineRule="auto"/>
      </w:pPr>
      <w:r>
        <w:separator/>
      </w:r>
    </w:p>
  </w:footnote>
  <w:footnote w:type="continuationSeparator" w:id="0">
    <w:p w:rsidR="00C018E6" w:rsidRDefault="00C01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pPr>
      <w:spacing w:after="0" w:line="259" w:lineRule="auto"/>
      <w:ind w:left="1" w:right="-13" w:firstLine="0"/>
    </w:pPr>
    <w:r>
      <w:rPr>
        <w:i/>
        <w:sz w:val="13"/>
      </w:rPr>
      <w:t xml:space="preserve">S. </w:t>
    </w:r>
    <w:proofErr w:type="spellStart"/>
    <w:r>
      <w:rPr>
        <w:i/>
        <w:sz w:val="13"/>
      </w:rPr>
      <w:t>Mortazavi</w:t>
    </w:r>
    <w:proofErr w:type="spellEnd"/>
    <w:r>
      <w:rPr>
        <w:i/>
        <w:sz w:val="13"/>
      </w:rPr>
      <w:t xml:space="preserve"> et al.                                                                                                                                                                                                                              </w:t>
    </w:r>
    <w:r>
      <w:rPr>
        <w:rFonts w:ascii="Times New Roman" w:eastAsia="Times New Roman" w:hAnsi="Times New Roman" w:cs="Times New Roman"/>
        <w:i/>
        <w:sz w:val="13"/>
      </w:rPr>
      <w:t xml:space="preserve">Comprehensive </w:t>
    </w:r>
    <w:proofErr w:type="spellStart"/>
    <w:r>
      <w:rPr>
        <w:rFonts w:ascii="Times New Roman" w:eastAsia="Times New Roman" w:hAnsi="Times New Roman" w:cs="Times New Roman"/>
        <w:i/>
        <w:sz w:val="13"/>
      </w:rPr>
      <w:t>Psychoneuroendocrinology</w:t>
    </w:r>
    <w:proofErr w:type="spellEnd"/>
    <w:r>
      <w:rPr>
        <w:rFonts w:ascii="Times New Roman" w:eastAsia="Times New Roman" w:hAnsi="Times New Roman" w:cs="Times New Roman"/>
        <w:i/>
        <w:sz w:val="13"/>
      </w:rPr>
      <w:t xml:space="preserve"> 19 (2024) 100238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rsidP="00F25244">
    <w:pPr>
      <w:spacing w:after="0" w:line="259" w:lineRule="auto"/>
      <w:ind w:right="-13"/>
    </w:pPr>
    <w:r w:rsidRPr="00536B92">
      <w:rPr>
        <w:rFonts w:ascii="Times New Roman" w:eastAsia="Times New Roman" w:hAnsi="Times New Roman" w:cs="Traditional Arabic"/>
        <w:noProof/>
        <w:color w:val="auto"/>
        <w:sz w:val="20"/>
        <w:szCs w:val="20"/>
      </w:rPr>
      <w:drawing>
        <wp:anchor distT="0" distB="0" distL="114300" distR="114300" simplePos="0" relativeHeight="251659264" behindDoc="1" locked="0" layoutInCell="1" allowOverlap="1" wp14:anchorId="3B45E58D" wp14:editId="038417E9">
          <wp:simplePos x="0" y="0"/>
          <wp:positionH relativeFrom="margin">
            <wp:align>right</wp:align>
          </wp:positionH>
          <wp:positionV relativeFrom="paragraph">
            <wp:posOffset>-413689</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92" w:rsidRDefault="00536B92">
    <w:pPr>
      <w:spacing w:after="160" w:line="259" w:lineRule="auto"/>
      <w:ind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D67383"/>
    <w:multiLevelType w:val="hybridMultilevel"/>
    <w:tmpl w:val="6A42E312"/>
    <w:lvl w:ilvl="0" w:tplc="E65CD762">
      <w:start w:val="1"/>
      <w:numFmt w:val="lowerLetter"/>
      <w:lvlText w:val="%1"/>
      <w:lvlJc w:val="left"/>
      <w:pPr>
        <w:ind w:left="85"/>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1" w:tplc="4E769F04">
      <w:start w:val="1"/>
      <w:numFmt w:val="lowerLetter"/>
      <w:lvlText w:val="%2"/>
      <w:lvlJc w:val="left"/>
      <w:pPr>
        <w:ind w:left="108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2" w:tplc="E1A658B2">
      <w:start w:val="1"/>
      <w:numFmt w:val="lowerRoman"/>
      <w:lvlText w:val="%3"/>
      <w:lvlJc w:val="left"/>
      <w:pPr>
        <w:ind w:left="180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3" w:tplc="3BA483B0">
      <w:start w:val="1"/>
      <w:numFmt w:val="decimal"/>
      <w:lvlText w:val="%4"/>
      <w:lvlJc w:val="left"/>
      <w:pPr>
        <w:ind w:left="252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4" w:tplc="6CFC7096">
      <w:start w:val="1"/>
      <w:numFmt w:val="lowerLetter"/>
      <w:lvlText w:val="%5"/>
      <w:lvlJc w:val="left"/>
      <w:pPr>
        <w:ind w:left="324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5" w:tplc="AE7A2D6A">
      <w:start w:val="1"/>
      <w:numFmt w:val="lowerRoman"/>
      <w:lvlText w:val="%6"/>
      <w:lvlJc w:val="left"/>
      <w:pPr>
        <w:ind w:left="396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6" w:tplc="80780B00">
      <w:start w:val="1"/>
      <w:numFmt w:val="decimal"/>
      <w:lvlText w:val="%7"/>
      <w:lvlJc w:val="left"/>
      <w:pPr>
        <w:ind w:left="468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7" w:tplc="491C0EAA">
      <w:start w:val="1"/>
      <w:numFmt w:val="lowerLetter"/>
      <w:lvlText w:val="%8"/>
      <w:lvlJc w:val="left"/>
      <w:pPr>
        <w:ind w:left="540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lvl w:ilvl="8" w:tplc="06203A54">
      <w:start w:val="1"/>
      <w:numFmt w:val="lowerRoman"/>
      <w:lvlText w:val="%9"/>
      <w:lvlJc w:val="left"/>
      <w:pPr>
        <w:ind w:left="6121"/>
      </w:pPr>
      <w:rPr>
        <w:rFonts w:ascii="Calibri" w:eastAsia="Calibri" w:hAnsi="Calibri" w:cs="Calibri"/>
        <w:b w:val="0"/>
        <w:i w:val="0"/>
        <w:strike w:val="0"/>
        <w:dstrike w:val="0"/>
        <w:color w:val="000000"/>
        <w:sz w:val="13"/>
        <w:szCs w:val="13"/>
        <w:u w:val="none" w:color="000000"/>
        <w:bdr w:val="none" w:sz="0" w:space="0" w:color="auto"/>
        <w:shd w:val="clear" w:color="auto" w:fill="auto"/>
        <w:vertAlign w:val="superscript"/>
      </w:rPr>
    </w:lvl>
  </w:abstractNum>
  <w:abstractNum w:abstractNumId="1">
    <w:nsid w:val="2DA24E4A"/>
    <w:multiLevelType w:val="hybridMultilevel"/>
    <w:tmpl w:val="7CC86E62"/>
    <w:lvl w:ilvl="0" w:tplc="30268E76">
      <w:start w:val="2"/>
      <w:numFmt w:val="decimal"/>
      <w:pStyle w:val="Heading1"/>
      <w:lvlText w:val="%1."/>
      <w:lvlJc w:val="left"/>
      <w:pPr>
        <w:ind w:left="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1" w:tplc="A92A38B2">
      <w:start w:val="1"/>
      <w:numFmt w:val="lowerLetter"/>
      <w:lvlText w:val="%2"/>
      <w:lvlJc w:val="left"/>
      <w:pPr>
        <w:ind w:left="10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2" w:tplc="96D86AEE">
      <w:start w:val="1"/>
      <w:numFmt w:val="lowerRoman"/>
      <w:lvlText w:val="%3"/>
      <w:lvlJc w:val="left"/>
      <w:pPr>
        <w:ind w:left="18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3" w:tplc="B2AC1430">
      <w:start w:val="1"/>
      <w:numFmt w:val="decimal"/>
      <w:lvlText w:val="%4"/>
      <w:lvlJc w:val="left"/>
      <w:pPr>
        <w:ind w:left="25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4" w:tplc="D5104EA6">
      <w:start w:val="1"/>
      <w:numFmt w:val="lowerLetter"/>
      <w:lvlText w:val="%5"/>
      <w:lvlJc w:val="left"/>
      <w:pPr>
        <w:ind w:left="324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5" w:tplc="9B20B648">
      <w:start w:val="1"/>
      <w:numFmt w:val="lowerRoman"/>
      <w:lvlText w:val="%6"/>
      <w:lvlJc w:val="left"/>
      <w:pPr>
        <w:ind w:left="396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6" w:tplc="74A8ED3E">
      <w:start w:val="1"/>
      <w:numFmt w:val="decimal"/>
      <w:lvlText w:val="%7"/>
      <w:lvlJc w:val="left"/>
      <w:pPr>
        <w:ind w:left="468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7" w:tplc="0F466664">
      <w:start w:val="1"/>
      <w:numFmt w:val="lowerLetter"/>
      <w:lvlText w:val="%8"/>
      <w:lvlJc w:val="left"/>
      <w:pPr>
        <w:ind w:left="540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lvl w:ilvl="8" w:tplc="99A623DA">
      <w:start w:val="1"/>
      <w:numFmt w:val="lowerRoman"/>
      <w:lvlText w:val="%9"/>
      <w:lvlJc w:val="left"/>
      <w:pPr>
        <w:ind w:left="6120"/>
      </w:pPr>
      <w:rPr>
        <w:rFonts w:ascii="Calibri" w:eastAsia="Calibri" w:hAnsi="Calibri" w:cs="Calibri"/>
        <w:b/>
        <w:bCs/>
        <w:i w:val="0"/>
        <w:strike w:val="0"/>
        <w:dstrike w:val="0"/>
        <w:color w:val="000000"/>
        <w:sz w:val="16"/>
        <w:szCs w:val="16"/>
        <w:u w:val="none" w:color="000000"/>
        <w:bdr w:val="none" w:sz="0" w:space="0" w:color="auto"/>
        <w:shd w:val="clear" w:color="auto" w:fill="auto"/>
        <w:vertAlign w:val="baseline"/>
      </w:rPr>
    </w:lvl>
  </w:abstractNum>
  <w:abstractNum w:abstractNumId="2">
    <w:nsid w:val="7C3A10ED"/>
    <w:multiLevelType w:val="hybridMultilevel"/>
    <w:tmpl w:val="2D5A2B50"/>
    <w:lvl w:ilvl="0" w:tplc="23467D90">
      <w:start w:val="1"/>
      <w:numFmt w:val="decimal"/>
      <w:lvlText w:val="[%1]"/>
      <w:lvlJc w:val="left"/>
      <w:pPr>
        <w:ind w:left="331"/>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8BBC2C4E">
      <w:start w:val="1"/>
      <w:numFmt w:val="lowerLetter"/>
      <w:lvlText w:val="%2"/>
      <w:lvlJc w:val="left"/>
      <w:pPr>
        <w:ind w:left="109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B01420">
      <w:start w:val="1"/>
      <w:numFmt w:val="lowerRoman"/>
      <w:lvlText w:val="%3"/>
      <w:lvlJc w:val="left"/>
      <w:pPr>
        <w:ind w:left="181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570E9DA">
      <w:start w:val="1"/>
      <w:numFmt w:val="decimal"/>
      <w:lvlText w:val="%4"/>
      <w:lvlJc w:val="left"/>
      <w:pPr>
        <w:ind w:left="253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D25E03E8">
      <w:start w:val="1"/>
      <w:numFmt w:val="lowerLetter"/>
      <w:lvlText w:val="%5"/>
      <w:lvlJc w:val="left"/>
      <w:pPr>
        <w:ind w:left="325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2E887E5C">
      <w:start w:val="1"/>
      <w:numFmt w:val="lowerRoman"/>
      <w:lvlText w:val="%6"/>
      <w:lvlJc w:val="left"/>
      <w:pPr>
        <w:ind w:left="397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19CB8C8">
      <w:start w:val="1"/>
      <w:numFmt w:val="decimal"/>
      <w:lvlText w:val="%7"/>
      <w:lvlJc w:val="left"/>
      <w:pPr>
        <w:ind w:left="469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649E77AE">
      <w:start w:val="1"/>
      <w:numFmt w:val="lowerLetter"/>
      <w:lvlText w:val="%8"/>
      <w:lvlJc w:val="left"/>
      <w:pPr>
        <w:ind w:left="541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AF606306">
      <w:start w:val="1"/>
      <w:numFmt w:val="lowerRoman"/>
      <w:lvlText w:val="%9"/>
      <w:lvlJc w:val="left"/>
      <w:pPr>
        <w:ind w:left="6133"/>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D8"/>
    <w:rsid w:val="001F47D8"/>
    <w:rsid w:val="00536B92"/>
    <w:rsid w:val="00860896"/>
    <w:rsid w:val="00A76678"/>
    <w:rsid w:val="00C018E6"/>
    <w:rsid w:val="00F2524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FCBD04-87E5-41AA-8D7F-24A1E597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60" w:lineRule="auto"/>
      <w:ind w:right="47" w:firstLine="229"/>
      <w:jc w:val="both"/>
    </w:pPr>
    <w:rPr>
      <w:rFonts w:ascii="Calibri" w:eastAsia="Calibri" w:hAnsi="Calibri" w:cs="Calibri"/>
      <w:color w:val="000000"/>
      <w:sz w:val="16"/>
    </w:rPr>
  </w:style>
  <w:style w:type="paragraph" w:styleId="Heading1">
    <w:name w:val="heading 1"/>
    <w:next w:val="Normal"/>
    <w:link w:val="Heading1Char"/>
    <w:uiPriority w:val="9"/>
    <w:unhideWhenUsed/>
    <w:qFormat/>
    <w:pPr>
      <w:keepNext/>
      <w:keepLines/>
      <w:numPr>
        <w:numId w:val="3"/>
      </w:numPr>
      <w:spacing w:after="211"/>
      <w:ind w:left="10" w:hanging="10"/>
      <w:outlineLvl w:val="0"/>
    </w:pPr>
    <w:rPr>
      <w:rFonts w:ascii="Calibri" w:eastAsia="Calibri" w:hAnsi="Calibri" w:cs="Calibri"/>
      <w:b/>
      <w:color w:val="000000"/>
      <w:sz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refhub.elsevier.com/S2666-4976(24)00014-6/sref21" TargetMode="External"/><Relationship Id="rId21" Type="http://schemas.openxmlformats.org/officeDocument/2006/relationships/hyperlink" Target="http://refhub.elsevier.com/S2666-4976(24)00014-6/sref3" TargetMode="External"/><Relationship Id="rId42" Type="http://schemas.openxmlformats.org/officeDocument/2006/relationships/hyperlink" Target="http://refhub.elsevier.com/S2666-4976(24)00014-6/sref6" TargetMode="External"/><Relationship Id="rId63" Type="http://schemas.openxmlformats.org/officeDocument/2006/relationships/hyperlink" Target="http://refhub.elsevier.com/S2666-4976(24)00014-6/sref10" TargetMode="External"/><Relationship Id="rId84" Type="http://schemas.openxmlformats.org/officeDocument/2006/relationships/hyperlink" Target="http://refhub.elsevier.com/S2666-4976(24)00014-6/sref14" TargetMode="External"/><Relationship Id="rId138" Type="http://schemas.openxmlformats.org/officeDocument/2006/relationships/hyperlink" Target="http://refhub.elsevier.com/S2666-4976(24)00014-6/sref26" TargetMode="External"/><Relationship Id="rId159" Type="http://schemas.openxmlformats.org/officeDocument/2006/relationships/hyperlink" Target="http://refhub.elsevier.com/S2666-4976(24)00014-6/sref31" TargetMode="External"/><Relationship Id="rId170" Type="http://schemas.openxmlformats.org/officeDocument/2006/relationships/hyperlink" Target="http://refhub.elsevier.com/S2666-4976(24)00014-6/sref33" TargetMode="External"/><Relationship Id="rId191" Type="http://schemas.openxmlformats.org/officeDocument/2006/relationships/hyperlink" Target="http://refhub.elsevier.com/S2666-4976(24)00014-6/sref36" TargetMode="External"/><Relationship Id="rId205" Type="http://schemas.openxmlformats.org/officeDocument/2006/relationships/hyperlink" Target="http://refhub.elsevier.com/S2666-4976(24)00014-6/sref39" TargetMode="External"/><Relationship Id="rId226" Type="http://schemas.openxmlformats.org/officeDocument/2006/relationships/hyperlink" Target="http://refhub.elsevier.com/S2666-4976(24)00014-6/sref43" TargetMode="External"/><Relationship Id="rId247" Type="http://schemas.openxmlformats.org/officeDocument/2006/relationships/hyperlink" Target="http://refhub.elsevier.com/S2666-4976(24)00014-6/sref47" TargetMode="External"/><Relationship Id="rId107" Type="http://schemas.openxmlformats.org/officeDocument/2006/relationships/hyperlink" Target="http://refhub.elsevier.com/S2666-4976(24)00014-6/sref19" TargetMode="External"/><Relationship Id="rId11" Type="http://schemas.openxmlformats.org/officeDocument/2006/relationships/hyperlink" Target="http://refhub.elsevier.com/S2666-4976(24)00014-6/sref1" TargetMode="External"/><Relationship Id="rId32" Type="http://schemas.openxmlformats.org/officeDocument/2006/relationships/hyperlink" Target="http://refhub.elsevier.com/S2666-4976(24)00014-6/sref4" TargetMode="External"/><Relationship Id="rId53" Type="http://schemas.openxmlformats.org/officeDocument/2006/relationships/hyperlink" Target="http://refhub.elsevier.com/S2666-4976(24)00014-6/sref8" TargetMode="External"/><Relationship Id="rId74" Type="http://schemas.openxmlformats.org/officeDocument/2006/relationships/hyperlink" Target="http://refhub.elsevier.com/S2666-4976(24)00014-6/sref12" TargetMode="External"/><Relationship Id="rId128" Type="http://schemas.openxmlformats.org/officeDocument/2006/relationships/hyperlink" Target="http://refhub.elsevier.com/S2666-4976(24)00014-6/sref23" TargetMode="External"/><Relationship Id="rId149" Type="http://schemas.openxmlformats.org/officeDocument/2006/relationships/hyperlink" Target="http://refhub.elsevier.com/S2666-4976(24)00014-6/sref28" TargetMode="External"/><Relationship Id="rId5" Type="http://schemas.openxmlformats.org/officeDocument/2006/relationships/footnotes" Target="footnotes.xml"/><Relationship Id="rId95" Type="http://schemas.openxmlformats.org/officeDocument/2006/relationships/hyperlink" Target="http://refhub.elsevier.com/S2666-4976(24)00014-6/sref16" TargetMode="External"/><Relationship Id="rId160" Type="http://schemas.openxmlformats.org/officeDocument/2006/relationships/hyperlink" Target="http://refhub.elsevier.com/S2666-4976(24)00014-6/sref31" TargetMode="External"/><Relationship Id="rId181" Type="http://schemas.openxmlformats.org/officeDocument/2006/relationships/hyperlink" Target="http://refhub.elsevier.com/S2666-4976(24)00014-6/sref34" TargetMode="External"/><Relationship Id="rId216" Type="http://schemas.openxmlformats.org/officeDocument/2006/relationships/hyperlink" Target="http://refhub.elsevier.com/S2666-4976(24)00014-6/sref41" TargetMode="External"/><Relationship Id="rId237" Type="http://schemas.openxmlformats.org/officeDocument/2006/relationships/hyperlink" Target="http://refhub.elsevier.com/S2666-4976(24)00014-6/sref45" TargetMode="External"/><Relationship Id="rId258" Type="http://schemas.openxmlformats.org/officeDocument/2006/relationships/fontTable" Target="fontTable.xml"/><Relationship Id="rId22" Type="http://schemas.openxmlformats.org/officeDocument/2006/relationships/hyperlink" Target="http://refhub.elsevier.com/S2666-4976(24)00014-6/sref3" TargetMode="External"/><Relationship Id="rId43" Type="http://schemas.openxmlformats.org/officeDocument/2006/relationships/hyperlink" Target="http://refhub.elsevier.com/S2666-4976(24)00014-6/sref6" TargetMode="External"/><Relationship Id="rId64" Type="http://schemas.openxmlformats.org/officeDocument/2006/relationships/hyperlink" Target="http://refhub.elsevier.com/S2666-4976(24)00014-6/sref10" TargetMode="External"/><Relationship Id="rId118" Type="http://schemas.openxmlformats.org/officeDocument/2006/relationships/hyperlink" Target="http://refhub.elsevier.com/S2666-4976(24)00014-6/sref21" TargetMode="External"/><Relationship Id="rId139" Type="http://schemas.openxmlformats.org/officeDocument/2006/relationships/hyperlink" Target="http://refhub.elsevier.com/S2666-4976(24)00014-6/sref26" TargetMode="External"/><Relationship Id="rId85" Type="http://schemas.openxmlformats.org/officeDocument/2006/relationships/hyperlink" Target="http://refhub.elsevier.com/S2666-4976(24)00014-6/sref14" TargetMode="External"/><Relationship Id="rId150" Type="http://schemas.openxmlformats.org/officeDocument/2006/relationships/hyperlink" Target="http://refhub.elsevier.com/S2666-4976(24)00014-6/sref28" TargetMode="External"/><Relationship Id="rId171" Type="http://schemas.openxmlformats.org/officeDocument/2006/relationships/hyperlink" Target="http://refhub.elsevier.com/S2666-4976(24)00014-6/sref33" TargetMode="External"/><Relationship Id="rId192" Type="http://schemas.openxmlformats.org/officeDocument/2006/relationships/hyperlink" Target="http://refhub.elsevier.com/S2666-4976(24)00014-6/sref36" TargetMode="External"/><Relationship Id="rId206" Type="http://schemas.openxmlformats.org/officeDocument/2006/relationships/hyperlink" Target="http://refhub.elsevier.com/S2666-4976(24)00014-6/sref39" TargetMode="External"/><Relationship Id="rId227" Type="http://schemas.openxmlformats.org/officeDocument/2006/relationships/hyperlink" Target="http://refhub.elsevier.com/S2666-4976(24)00014-6/sref43" TargetMode="External"/><Relationship Id="rId248" Type="http://schemas.openxmlformats.org/officeDocument/2006/relationships/hyperlink" Target="http://refhub.elsevier.com/S2666-4976(24)00014-6/sref47" TargetMode="External"/><Relationship Id="rId12" Type="http://schemas.openxmlformats.org/officeDocument/2006/relationships/hyperlink" Target="http://refhub.elsevier.com/S2666-4976(24)00014-6/sref1" TargetMode="External"/><Relationship Id="rId33" Type="http://schemas.openxmlformats.org/officeDocument/2006/relationships/hyperlink" Target="http://refhub.elsevier.com/S2666-4976(24)00014-6/sref5" TargetMode="External"/><Relationship Id="rId108" Type="http://schemas.openxmlformats.org/officeDocument/2006/relationships/hyperlink" Target="http://refhub.elsevier.com/S2666-4976(24)00014-6/sref19" TargetMode="External"/><Relationship Id="rId129" Type="http://schemas.openxmlformats.org/officeDocument/2006/relationships/hyperlink" Target="http://refhub.elsevier.com/S2666-4976(24)00014-6/sref23" TargetMode="External"/><Relationship Id="rId54" Type="http://schemas.openxmlformats.org/officeDocument/2006/relationships/hyperlink" Target="http://refhub.elsevier.com/S2666-4976(24)00014-6/sref8" TargetMode="External"/><Relationship Id="rId75" Type="http://schemas.openxmlformats.org/officeDocument/2006/relationships/hyperlink" Target="http://refhub.elsevier.com/S2666-4976(24)00014-6/sref12" TargetMode="External"/><Relationship Id="rId96" Type="http://schemas.openxmlformats.org/officeDocument/2006/relationships/hyperlink" Target="http://refhub.elsevier.com/S2666-4976(24)00014-6/sref16" TargetMode="External"/><Relationship Id="rId140" Type="http://schemas.openxmlformats.org/officeDocument/2006/relationships/hyperlink" Target="http://refhub.elsevier.com/S2666-4976(24)00014-6/sref26" TargetMode="External"/><Relationship Id="rId161" Type="http://schemas.openxmlformats.org/officeDocument/2006/relationships/hyperlink" Target="http://refhub.elsevier.com/S2666-4976(24)00014-6/sref31" TargetMode="External"/><Relationship Id="rId182" Type="http://schemas.openxmlformats.org/officeDocument/2006/relationships/hyperlink" Target="http://refhub.elsevier.com/S2666-4976(24)00014-6/sref34" TargetMode="External"/><Relationship Id="rId217" Type="http://schemas.openxmlformats.org/officeDocument/2006/relationships/hyperlink" Target="http://refhub.elsevier.com/S2666-4976(24)00014-6/sref41" TargetMode="External"/><Relationship Id="rId6" Type="http://schemas.openxmlformats.org/officeDocument/2006/relationships/endnotes" Target="endnotes.xml"/><Relationship Id="rId238" Type="http://schemas.openxmlformats.org/officeDocument/2006/relationships/hyperlink" Target="http://refhub.elsevier.com/S2666-4976(24)00014-6/sref45" TargetMode="External"/><Relationship Id="rId259" Type="http://schemas.openxmlformats.org/officeDocument/2006/relationships/theme" Target="theme/theme1.xml"/><Relationship Id="rId23" Type="http://schemas.openxmlformats.org/officeDocument/2006/relationships/hyperlink" Target="http://refhub.elsevier.com/S2666-4976(24)00014-6/sref3" TargetMode="External"/><Relationship Id="rId119" Type="http://schemas.openxmlformats.org/officeDocument/2006/relationships/hyperlink" Target="http://refhub.elsevier.com/S2666-4976(24)00014-6/sref22" TargetMode="External"/><Relationship Id="rId44" Type="http://schemas.openxmlformats.org/officeDocument/2006/relationships/hyperlink" Target="http://refhub.elsevier.com/S2666-4976(24)00014-6/sref6" TargetMode="External"/><Relationship Id="rId65" Type="http://schemas.openxmlformats.org/officeDocument/2006/relationships/hyperlink" Target="http://refhub.elsevier.com/S2666-4976(24)00014-6/sref10" TargetMode="External"/><Relationship Id="rId86" Type="http://schemas.openxmlformats.org/officeDocument/2006/relationships/hyperlink" Target="http://refhub.elsevier.com/S2666-4976(24)00014-6/sref14" TargetMode="External"/><Relationship Id="rId130" Type="http://schemas.openxmlformats.org/officeDocument/2006/relationships/hyperlink" Target="http://refhub.elsevier.com/S2666-4976(24)00014-6/sref23" TargetMode="External"/><Relationship Id="rId151" Type="http://schemas.openxmlformats.org/officeDocument/2006/relationships/hyperlink" Target="http://refhub.elsevier.com/S2666-4976(24)00014-6/sref28" TargetMode="External"/><Relationship Id="rId172" Type="http://schemas.openxmlformats.org/officeDocument/2006/relationships/hyperlink" Target="http://refhub.elsevier.com/S2666-4976(24)00014-6/sref33" TargetMode="External"/><Relationship Id="rId193" Type="http://schemas.openxmlformats.org/officeDocument/2006/relationships/hyperlink" Target="http://refhub.elsevier.com/S2666-4976(24)00014-6/sref37" TargetMode="External"/><Relationship Id="rId207" Type="http://schemas.openxmlformats.org/officeDocument/2006/relationships/hyperlink" Target="http://refhub.elsevier.com/S2666-4976(24)00014-6/sref39" TargetMode="External"/><Relationship Id="rId228" Type="http://schemas.openxmlformats.org/officeDocument/2006/relationships/hyperlink" Target="http://refhub.elsevier.com/S2666-4976(24)00014-6/sref43" TargetMode="External"/><Relationship Id="rId249" Type="http://schemas.openxmlformats.org/officeDocument/2006/relationships/hyperlink" Target="http://refhub.elsevier.com/S2666-4976(24)00014-6/sref47" TargetMode="External"/><Relationship Id="rId13" Type="http://schemas.openxmlformats.org/officeDocument/2006/relationships/hyperlink" Target="http://refhub.elsevier.com/S2666-4976(24)00014-6/sref1" TargetMode="External"/><Relationship Id="rId109" Type="http://schemas.openxmlformats.org/officeDocument/2006/relationships/hyperlink" Target="http://refhub.elsevier.com/S2666-4976(24)00014-6/sref19" TargetMode="External"/><Relationship Id="rId34" Type="http://schemas.openxmlformats.org/officeDocument/2006/relationships/hyperlink" Target="http://refhub.elsevier.com/S2666-4976(24)00014-6/sref5" TargetMode="External"/><Relationship Id="rId55" Type="http://schemas.openxmlformats.org/officeDocument/2006/relationships/hyperlink" Target="http://refhub.elsevier.com/S2666-4976(24)00014-6/sref8" TargetMode="External"/><Relationship Id="rId76" Type="http://schemas.openxmlformats.org/officeDocument/2006/relationships/hyperlink" Target="http://refhub.elsevier.com/S2666-4976(24)00014-6/sref12" TargetMode="External"/><Relationship Id="rId97" Type="http://schemas.openxmlformats.org/officeDocument/2006/relationships/hyperlink" Target="http://refhub.elsevier.com/S2666-4976(24)00014-6/sref16" TargetMode="External"/><Relationship Id="rId120" Type="http://schemas.openxmlformats.org/officeDocument/2006/relationships/hyperlink" Target="http://refhub.elsevier.com/S2666-4976(24)00014-6/sref22" TargetMode="External"/><Relationship Id="rId141" Type="http://schemas.openxmlformats.org/officeDocument/2006/relationships/hyperlink" Target="http://refhub.elsevier.com/S2666-4976(24)00014-6/sref26" TargetMode="External"/><Relationship Id="rId7" Type="http://schemas.openxmlformats.org/officeDocument/2006/relationships/hyperlink" Target="http://refhub.elsevier.com/S2666-4976(24)00014-6/sref1" TargetMode="External"/><Relationship Id="rId162" Type="http://schemas.openxmlformats.org/officeDocument/2006/relationships/hyperlink" Target="http://refhub.elsevier.com/S2666-4976(24)00014-6/sref31" TargetMode="External"/><Relationship Id="rId183" Type="http://schemas.openxmlformats.org/officeDocument/2006/relationships/hyperlink" Target="http://refhub.elsevier.com/S2666-4976(24)00014-6/sref34" TargetMode="External"/><Relationship Id="rId218" Type="http://schemas.openxmlformats.org/officeDocument/2006/relationships/hyperlink" Target="http://refhub.elsevier.com/S2666-4976(24)00014-6/sref41" TargetMode="External"/><Relationship Id="rId239" Type="http://schemas.openxmlformats.org/officeDocument/2006/relationships/hyperlink" Target="http://refhub.elsevier.com/S2666-4976(24)00014-6/sref45" TargetMode="External"/><Relationship Id="rId250" Type="http://schemas.openxmlformats.org/officeDocument/2006/relationships/hyperlink" Target="http://refhub.elsevier.com/S2666-4976(24)00014-6/sref47" TargetMode="External"/><Relationship Id="rId24" Type="http://schemas.openxmlformats.org/officeDocument/2006/relationships/hyperlink" Target="http://refhub.elsevier.com/S2666-4976(24)00014-6/sref3" TargetMode="External"/><Relationship Id="rId45" Type="http://schemas.openxmlformats.org/officeDocument/2006/relationships/hyperlink" Target="http://refhub.elsevier.com/S2666-4976(24)00014-6/sref6" TargetMode="External"/><Relationship Id="rId66" Type="http://schemas.openxmlformats.org/officeDocument/2006/relationships/hyperlink" Target="http://refhub.elsevier.com/S2666-4976(24)00014-6/sref11" TargetMode="External"/><Relationship Id="rId87" Type="http://schemas.openxmlformats.org/officeDocument/2006/relationships/hyperlink" Target="http://refhub.elsevier.com/S2666-4976(24)00014-6/sref14" TargetMode="External"/><Relationship Id="rId110" Type="http://schemas.openxmlformats.org/officeDocument/2006/relationships/hyperlink" Target="http://refhub.elsevier.com/S2666-4976(24)00014-6/sref19" TargetMode="External"/><Relationship Id="rId131" Type="http://schemas.openxmlformats.org/officeDocument/2006/relationships/hyperlink" Target="http://refhub.elsevier.com/S2666-4976(24)00014-6/sref24" TargetMode="External"/><Relationship Id="rId152" Type="http://schemas.openxmlformats.org/officeDocument/2006/relationships/hyperlink" Target="http://refhub.elsevier.com/S2666-4976(24)00014-6/sref29" TargetMode="External"/><Relationship Id="rId173" Type="http://schemas.openxmlformats.org/officeDocument/2006/relationships/hyperlink" Target="http://refhub.elsevier.com/S2666-4976(24)00014-6/sref33" TargetMode="External"/><Relationship Id="rId194" Type="http://schemas.openxmlformats.org/officeDocument/2006/relationships/hyperlink" Target="http://refhub.elsevier.com/S2666-4976(24)00014-6/sref37" TargetMode="External"/><Relationship Id="rId208" Type="http://schemas.openxmlformats.org/officeDocument/2006/relationships/hyperlink" Target="http://refhub.elsevier.com/S2666-4976(24)00014-6/sref39" TargetMode="External"/><Relationship Id="rId229" Type="http://schemas.openxmlformats.org/officeDocument/2006/relationships/hyperlink" Target="http://refhub.elsevier.com/S2666-4976(24)00014-6/sref43" TargetMode="External"/><Relationship Id="rId240" Type="http://schemas.openxmlformats.org/officeDocument/2006/relationships/hyperlink" Target="http://refhub.elsevier.com/S2666-4976(24)00014-6/sref45" TargetMode="External"/><Relationship Id="rId14" Type="http://schemas.openxmlformats.org/officeDocument/2006/relationships/hyperlink" Target="http://refhub.elsevier.com/S2666-4976(24)00014-6/sref2" TargetMode="External"/><Relationship Id="rId35" Type="http://schemas.openxmlformats.org/officeDocument/2006/relationships/hyperlink" Target="http://refhub.elsevier.com/S2666-4976(24)00014-6/sref5" TargetMode="External"/><Relationship Id="rId56" Type="http://schemas.openxmlformats.org/officeDocument/2006/relationships/hyperlink" Target="http://refhub.elsevier.com/S2666-4976(24)00014-6/sref9" TargetMode="External"/><Relationship Id="rId77" Type="http://schemas.openxmlformats.org/officeDocument/2006/relationships/hyperlink" Target="http://refhub.elsevier.com/S2666-4976(24)00014-6/sref13" TargetMode="External"/><Relationship Id="rId100" Type="http://schemas.openxmlformats.org/officeDocument/2006/relationships/hyperlink" Target="http://refhub.elsevier.com/S2666-4976(24)00014-6/sref17" TargetMode="External"/><Relationship Id="rId8" Type="http://schemas.openxmlformats.org/officeDocument/2006/relationships/hyperlink" Target="http://refhub.elsevier.com/S2666-4976(24)00014-6/sref1" TargetMode="External"/><Relationship Id="rId98" Type="http://schemas.openxmlformats.org/officeDocument/2006/relationships/hyperlink" Target="http://refhub.elsevier.com/S2666-4976(24)00014-6/sref16" TargetMode="External"/><Relationship Id="rId121" Type="http://schemas.openxmlformats.org/officeDocument/2006/relationships/hyperlink" Target="http://refhub.elsevier.com/S2666-4976(24)00014-6/sref22" TargetMode="External"/><Relationship Id="rId142" Type="http://schemas.openxmlformats.org/officeDocument/2006/relationships/hyperlink" Target="http://refhub.elsevier.com/S2666-4976(24)00014-6/sref26" TargetMode="External"/><Relationship Id="rId163" Type="http://schemas.openxmlformats.org/officeDocument/2006/relationships/hyperlink" Target="http://refhub.elsevier.com/S2666-4976(24)00014-6/sref31" TargetMode="External"/><Relationship Id="rId184" Type="http://schemas.openxmlformats.org/officeDocument/2006/relationships/hyperlink" Target="http://refhub.elsevier.com/S2666-4976(24)00014-6/sref35" TargetMode="External"/><Relationship Id="rId219" Type="http://schemas.openxmlformats.org/officeDocument/2006/relationships/hyperlink" Target="http://refhub.elsevier.com/S2666-4976(24)00014-6/sref41" TargetMode="External"/><Relationship Id="rId230" Type="http://schemas.openxmlformats.org/officeDocument/2006/relationships/hyperlink" Target="http://refhub.elsevier.com/S2666-4976(24)00014-6/sref43" TargetMode="External"/><Relationship Id="rId251" Type="http://schemas.openxmlformats.org/officeDocument/2006/relationships/hyperlink" Target="http://refhub.elsevier.com/S2666-4976(24)00014-6/sref47" TargetMode="External"/><Relationship Id="rId25" Type="http://schemas.openxmlformats.org/officeDocument/2006/relationships/hyperlink" Target="http://refhub.elsevier.com/S2666-4976(24)00014-6/sref3" TargetMode="External"/><Relationship Id="rId46" Type="http://schemas.openxmlformats.org/officeDocument/2006/relationships/hyperlink" Target="http://refhub.elsevier.com/S2666-4976(24)00014-6/sref7" TargetMode="External"/><Relationship Id="rId67" Type="http://schemas.openxmlformats.org/officeDocument/2006/relationships/hyperlink" Target="http://refhub.elsevier.com/S2666-4976(24)00014-6/sref11" TargetMode="External"/><Relationship Id="rId88" Type="http://schemas.openxmlformats.org/officeDocument/2006/relationships/hyperlink" Target="http://refhub.elsevier.com/S2666-4976(24)00014-6/sref15" TargetMode="External"/><Relationship Id="rId111" Type="http://schemas.openxmlformats.org/officeDocument/2006/relationships/hyperlink" Target="http://refhub.elsevier.com/S2666-4976(24)00014-6/sref19" TargetMode="External"/><Relationship Id="rId132" Type="http://schemas.openxmlformats.org/officeDocument/2006/relationships/hyperlink" Target="http://refhub.elsevier.com/S2666-4976(24)00014-6/sref24" TargetMode="External"/><Relationship Id="rId153" Type="http://schemas.openxmlformats.org/officeDocument/2006/relationships/hyperlink" Target="http://refhub.elsevier.com/S2666-4976(24)00014-6/sref29" TargetMode="External"/><Relationship Id="rId174" Type="http://schemas.openxmlformats.org/officeDocument/2006/relationships/hyperlink" Target="http://refhub.elsevier.com/S2666-4976(24)00014-6/sref33" TargetMode="External"/><Relationship Id="rId195" Type="http://schemas.openxmlformats.org/officeDocument/2006/relationships/hyperlink" Target="http://refhub.elsevier.com/S2666-4976(24)00014-6/sref37" TargetMode="External"/><Relationship Id="rId209" Type="http://schemas.openxmlformats.org/officeDocument/2006/relationships/hyperlink" Target="http://refhub.elsevier.com/S2666-4976(24)00014-6/sref39" TargetMode="External"/><Relationship Id="rId220" Type="http://schemas.openxmlformats.org/officeDocument/2006/relationships/hyperlink" Target="http://refhub.elsevier.com/S2666-4976(24)00014-6/sref42" TargetMode="External"/><Relationship Id="rId241" Type="http://schemas.openxmlformats.org/officeDocument/2006/relationships/hyperlink" Target="http://refhub.elsevier.com/S2666-4976(24)00014-6/sref46" TargetMode="External"/><Relationship Id="rId15" Type="http://schemas.openxmlformats.org/officeDocument/2006/relationships/hyperlink" Target="http://refhub.elsevier.com/S2666-4976(24)00014-6/sref2" TargetMode="External"/><Relationship Id="rId36" Type="http://schemas.openxmlformats.org/officeDocument/2006/relationships/hyperlink" Target="http://refhub.elsevier.com/S2666-4976(24)00014-6/sref5" TargetMode="External"/><Relationship Id="rId57" Type="http://schemas.openxmlformats.org/officeDocument/2006/relationships/hyperlink" Target="http://refhub.elsevier.com/S2666-4976(24)00014-6/sref9" TargetMode="External"/><Relationship Id="rId78" Type="http://schemas.openxmlformats.org/officeDocument/2006/relationships/hyperlink" Target="http://refhub.elsevier.com/S2666-4976(24)00014-6/sref13" TargetMode="External"/><Relationship Id="rId99" Type="http://schemas.openxmlformats.org/officeDocument/2006/relationships/hyperlink" Target="http://refhub.elsevier.com/S2666-4976(24)00014-6/sref17" TargetMode="External"/><Relationship Id="rId101" Type="http://schemas.openxmlformats.org/officeDocument/2006/relationships/hyperlink" Target="http://refhub.elsevier.com/S2666-4976(24)00014-6/sref17" TargetMode="External"/><Relationship Id="rId122" Type="http://schemas.openxmlformats.org/officeDocument/2006/relationships/hyperlink" Target="http://refhub.elsevier.com/S2666-4976(24)00014-6/sref22" TargetMode="External"/><Relationship Id="rId143" Type="http://schemas.openxmlformats.org/officeDocument/2006/relationships/hyperlink" Target="http://refhub.elsevier.com/S2666-4976(24)00014-6/sref27" TargetMode="External"/><Relationship Id="rId164" Type="http://schemas.openxmlformats.org/officeDocument/2006/relationships/hyperlink" Target="http://refhub.elsevier.com/S2666-4976(24)00014-6/sref32" TargetMode="External"/><Relationship Id="rId185" Type="http://schemas.openxmlformats.org/officeDocument/2006/relationships/hyperlink" Target="http://refhub.elsevier.com/S2666-4976(24)00014-6/sref35" TargetMode="External"/><Relationship Id="rId9" Type="http://schemas.openxmlformats.org/officeDocument/2006/relationships/hyperlink" Target="http://refhub.elsevier.com/S2666-4976(24)00014-6/sref1" TargetMode="External"/><Relationship Id="rId210" Type="http://schemas.openxmlformats.org/officeDocument/2006/relationships/hyperlink" Target="http://refhub.elsevier.com/S2666-4976(24)00014-6/sref40" TargetMode="External"/><Relationship Id="rId26" Type="http://schemas.openxmlformats.org/officeDocument/2006/relationships/hyperlink" Target="http://refhub.elsevier.com/S2666-4976(24)00014-6/sref3" TargetMode="External"/><Relationship Id="rId231" Type="http://schemas.openxmlformats.org/officeDocument/2006/relationships/hyperlink" Target="http://refhub.elsevier.com/S2666-4976(24)00014-6/sref43" TargetMode="External"/><Relationship Id="rId252" Type="http://schemas.openxmlformats.org/officeDocument/2006/relationships/header" Target="header1.xml"/><Relationship Id="rId47" Type="http://schemas.openxmlformats.org/officeDocument/2006/relationships/hyperlink" Target="http://refhub.elsevier.com/S2666-4976(24)00014-6/sref7" TargetMode="External"/><Relationship Id="rId68" Type="http://schemas.openxmlformats.org/officeDocument/2006/relationships/hyperlink" Target="http://refhub.elsevier.com/S2666-4976(24)00014-6/sref11" TargetMode="External"/><Relationship Id="rId89" Type="http://schemas.openxmlformats.org/officeDocument/2006/relationships/hyperlink" Target="http://refhub.elsevier.com/S2666-4976(24)00014-6/sref15" TargetMode="External"/><Relationship Id="rId112" Type="http://schemas.openxmlformats.org/officeDocument/2006/relationships/hyperlink" Target="http://refhub.elsevier.com/S2666-4976(24)00014-6/sref20" TargetMode="External"/><Relationship Id="rId133" Type="http://schemas.openxmlformats.org/officeDocument/2006/relationships/hyperlink" Target="http://refhub.elsevier.com/S2666-4976(24)00014-6/sref25" TargetMode="External"/><Relationship Id="rId154" Type="http://schemas.openxmlformats.org/officeDocument/2006/relationships/hyperlink" Target="http://refhub.elsevier.com/S2666-4976(24)00014-6/sref29" TargetMode="External"/><Relationship Id="rId175" Type="http://schemas.openxmlformats.org/officeDocument/2006/relationships/hyperlink" Target="http://refhub.elsevier.com/S2666-4976(24)00014-6/sref33" TargetMode="External"/><Relationship Id="rId196" Type="http://schemas.openxmlformats.org/officeDocument/2006/relationships/hyperlink" Target="http://refhub.elsevier.com/S2666-4976(24)00014-6/sref37" TargetMode="External"/><Relationship Id="rId200" Type="http://schemas.openxmlformats.org/officeDocument/2006/relationships/hyperlink" Target="http://refhub.elsevier.com/S2666-4976(24)00014-6/sref38" TargetMode="External"/><Relationship Id="rId16" Type="http://schemas.openxmlformats.org/officeDocument/2006/relationships/hyperlink" Target="http://refhub.elsevier.com/S2666-4976(24)00014-6/sref2" TargetMode="External"/><Relationship Id="rId221" Type="http://schemas.openxmlformats.org/officeDocument/2006/relationships/hyperlink" Target="http://refhub.elsevier.com/S2666-4976(24)00014-6/sref42" TargetMode="External"/><Relationship Id="rId242" Type="http://schemas.openxmlformats.org/officeDocument/2006/relationships/hyperlink" Target="http://refhub.elsevier.com/S2666-4976(24)00014-6/sref46" TargetMode="External"/><Relationship Id="rId37" Type="http://schemas.openxmlformats.org/officeDocument/2006/relationships/hyperlink" Target="http://refhub.elsevier.com/S2666-4976(24)00014-6/sref5" TargetMode="External"/><Relationship Id="rId58" Type="http://schemas.openxmlformats.org/officeDocument/2006/relationships/hyperlink" Target="http://refhub.elsevier.com/S2666-4976(24)00014-6/sref9" TargetMode="External"/><Relationship Id="rId79" Type="http://schemas.openxmlformats.org/officeDocument/2006/relationships/hyperlink" Target="http://refhub.elsevier.com/S2666-4976(24)00014-6/sref13" TargetMode="External"/><Relationship Id="rId102" Type="http://schemas.openxmlformats.org/officeDocument/2006/relationships/hyperlink" Target="http://refhub.elsevier.com/S2666-4976(24)00014-6/sref18" TargetMode="External"/><Relationship Id="rId123" Type="http://schemas.openxmlformats.org/officeDocument/2006/relationships/hyperlink" Target="http://refhub.elsevier.com/S2666-4976(24)00014-6/sref22" TargetMode="External"/><Relationship Id="rId144" Type="http://schemas.openxmlformats.org/officeDocument/2006/relationships/hyperlink" Target="http://refhub.elsevier.com/S2666-4976(24)00014-6/sref27" TargetMode="External"/><Relationship Id="rId90" Type="http://schemas.openxmlformats.org/officeDocument/2006/relationships/hyperlink" Target="http://refhub.elsevier.com/S2666-4976(24)00014-6/sref15" TargetMode="External"/><Relationship Id="rId165" Type="http://schemas.openxmlformats.org/officeDocument/2006/relationships/hyperlink" Target="http://refhub.elsevier.com/S2666-4976(24)00014-6/sref32" TargetMode="External"/><Relationship Id="rId186" Type="http://schemas.openxmlformats.org/officeDocument/2006/relationships/hyperlink" Target="http://refhub.elsevier.com/S2666-4976(24)00014-6/sref35" TargetMode="External"/><Relationship Id="rId211" Type="http://schemas.openxmlformats.org/officeDocument/2006/relationships/hyperlink" Target="http://refhub.elsevier.com/S2666-4976(24)00014-6/sref40" TargetMode="External"/><Relationship Id="rId232" Type="http://schemas.openxmlformats.org/officeDocument/2006/relationships/hyperlink" Target="http://refhub.elsevier.com/S2666-4976(24)00014-6/sref44" TargetMode="External"/><Relationship Id="rId253" Type="http://schemas.openxmlformats.org/officeDocument/2006/relationships/header" Target="header2.xml"/><Relationship Id="rId27" Type="http://schemas.openxmlformats.org/officeDocument/2006/relationships/hyperlink" Target="http://refhub.elsevier.com/S2666-4976(24)00014-6/sref3" TargetMode="External"/><Relationship Id="rId48" Type="http://schemas.openxmlformats.org/officeDocument/2006/relationships/hyperlink" Target="http://refhub.elsevier.com/S2666-4976(24)00014-6/sref7" TargetMode="External"/><Relationship Id="rId69" Type="http://schemas.openxmlformats.org/officeDocument/2006/relationships/hyperlink" Target="http://refhub.elsevier.com/S2666-4976(24)00014-6/sref11" TargetMode="External"/><Relationship Id="rId113" Type="http://schemas.openxmlformats.org/officeDocument/2006/relationships/hyperlink" Target="http://refhub.elsevier.com/S2666-4976(24)00014-6/sref20" TargetMode="External"/><Relationship Id="rId134" Type="http://schemas.openxmlformats.org/officeDocument/2006/relationships/hyperlink" Target="http://refhub.elsevier.com/S2666-4976(24)00014-6/sref25" TargetMode="External"/><Relationship Id="rId80" Type="http://schemas.openxmlformats.org/officeDocument/2006/relationships/hyperlink" Target="http://refhub.elsevier.com/S2666-4976(24)00014-6/sref13" TargetMode="External"/><Relationship Id="rId155" Type="http://schemas.openxmlformats.org/officeDocument/2006/relationships/hyperlink" Target="http://refhub.elsevier.com/S2666-4976(24)00014-6/sref29" TargetMode="External"/><Relationship Id="rId176" Type="http://schemas.openxmlformats.org/officeDocument/2006/relationships/hyperlink" Target="http://refhub.elsevier.com/S2666-4976(24)00014-6/sref33" TargetMode="External"/><Relationship Id="rId197" Type="http://schemas.openxmlformats.org/officeDocument/2006/relationships/hyperlink" Target="http://refhub.elsevier.com/S2666-4976(24)00014-6/sref37" TargetMode="External"/><Relationship Id="rId201" Type="http://schemas.openxmlformats.org/officeDocument/2006/relationships/hyperlink" Target="http://refhub.elsevier.com/S2666-4976(24)00014-6/sref38" TargetMode="External"/><Relationship Id="rId222" Type="http://schemas.openxmlformats.org/officeDocument/2006/relationships/hyperlink" Target="http://refhub.elsevier.com/S2666-4976(24)00014-6/sref42" TargetMode="External"/><Relationship Id="rId243" Type="http://schemas.openxmlformats.org/officeDocument/2006/relationships/hyperlink" Target="http://refhub.elsevier.com/S2666-4976(24)00014-6/sref46" TargetMode="External"/><Relationship Id="rId17" Type="http://schemas.openxmlformats.org/officeDocument/2006/relationships/hyperlink" Target="http://refhub.elsevier.com/S2666-4976(24)00014-6/sref2" TargetMode="External"/><Relationship Id="rId38" Type="http://schemas.openxmlformats.org/officeDocument/2006/relationships/hyperlink" Target="http://refhub.elsevier.com/S2666-4976(24)00014-6/sref5" TargetMode="External"/><Relationship Id="rId59" Type="http://schemas.openxmlformats.org/officeDocument/2006/relationships/hyperlink" Target="http://refhub.elsevier.com/S2666-4976(24)00014-6/sref9" TargetMode="External"/><Relationship Id="rId103" Type="http://schemas.openxmlformats.org/officeDocument/2006/relationships/hyperlink" Target="http://refhub.elsevier.com/S2666-4976(24)00014-6/sref18" TargetMode="External"/><Relationship Id="rId124" Type="http://schemas.openxmlformats.org/officeDocument/2006/relationships/hyperlink" Target="http://refhub.elsevier.com/S2666-4976(24)00014-6/sref23" TargetMode="External"/><Relationship Id="rId70" Type="http://schemas.openxmlformats.org/officeDocument/2006/relationships/hyperlink" Target="http://refhub.elsevier.com/S2666-4976(24)00014-6/sref11" TargetMode="External"/><Relationship Id="rId91" Type="http://schemas.openxmlformats.org/officeDocument/2006/relationships/hyperlink" Target="http://refhub.elsevier.com/S2666-4976(24)00014-6/sref15" TargetMode="External"/><Relationship Id="rId145" Type="http://schemas.openxmlformats.org/officeDocument/2006/relationships/hyperlink" Target="http://refhub.elsevier.com/S2666-4976(24)00014-6/sref27" TargetMode="External"/><Relationship Id="rId166" Type="http://schemas.openxmlformats.org/officeDocument/2006/relationships/hyperlink" Target="http://refhub.elsevier.com/S2666-4976(24)00014-6/sref32" TargetMode="External"/><Relationship Id="rId187" Type="http://schemas.openxmlformats.org/officeDocument/2006/relationships/hyperlink" Target="http://refhub.elsevier.com/S2666-4976(24)00014-6/sref35" TargetMode="External"/><Relationship Id="rId1" Type="http://schemas.openxmlformats.org/officeDocument/2006/relationships/numbering" Target="numbering.xml"/><Relationship Id="rId212" Type="http://schemas.openxmlformats.org/officeDocument/2006/relationships/hyperlink" Target="http://refhub.elsevier.com/S2666-4976(24)00014-6/sref40" TargetMode="External"/><Relationship Id="rId233" Type="http://schemas.openxmlformats.org/officeDocument/2006/relationships/hyperlink" Target="http://refhub.elsevier.com/S2666-4976(24)00014-6/sref44" TargetMode="External"/><Relationship Id="rId254" Type="http://schemas.openxmlformats.org/officeDocument/2006/relationships/footer" Target="footer1.xml"/><Relationship Id="rId28" Type="http://schemas.openxmlformats.org/officeDocument/2006/relationships/hyperlink" Target="http://refhub.elsevier.com/S2666-4976(24)00014-6/sref3" TargetMode="External"/><Relationship Id="rId49" Type="http://schemas.openxmlformats.org/officeDocument/2006/relationships/hyperlink" Target="http://refhub.elsevier.com/S2666-4976(24)00014-6/sref7" TargetMode="External"/><Relationship Id="rId114" Type="http://schemas.openxmlformats.org/officeDocument/2006/relationships/hyperlink" Target="http://refhub.elsevier.com/S2666-4976(24)00014-6/sref21" TargetMode="External"/><Relationship Id="rId60" Type="http://schemas.openxmlformats.org/officeDocument/2006/relationships/hyperlink" Target="http://refhub.elsevier.com/S2666-4976(24)00014-6/sref10" TargetMode="External"/><Relationship Id="rId81" Type="http://schemas.openxmlformats.org/officeDocument/2006/relationships/hyperlink" Target="http://refhub.elsevier.com/S2666-4976(24)00014-6/sref13" TargetMode="External"/><Relationship Id="rId135" Type="http://schemas.openxmlformats.org/officeDocument/2006/relationships/hyperlink" Target="http://refhub.elsevier.com/S2666-4976(24)00014-6/sref25" TargetMode="External"/><Relationship Id="rId156" Type="http://schemas.openxmlformats.org/officeDocument/2006/relationships/hyperlink" Target="http://refhub.elsevier.com/S2666-4976(24)00014-6/sref29" TargetMode="External"/><Relationship Id="rId177" Type="http://schemas.openxmlformats.org/officeDocument/2006/relationships/hyperlink" Target="http://refhub.elsevier.com/S2666-4976(24)00014-6/sref33" TargetMode="External"/><Relationship Id="rId198" Type="http://schemas.openxmlformats.org/officeDocument/2006/relationships/hyperlink" Target="http://refhub.elsevier.com/S2666-4976(24)00014-6/sref38" TargetMode="External"/><Relationship Id="rId202" Type="http://schemas.openxmlformats.org/officeDocument/2006/relationships/hyperlink" Target="http://refhub.elsevier.com/S2666-4976(24)00014-6/sref38" TargetMode="External"/><Relationship Id="rId223" Type="http://schemas.openxmlformats.org/officeDocument/2006/relationships/hyperlink" Target="http://refhub.elsevier.com/S2666-4976(24)00014-6/sref42" TargetMode="External"/><Relationship Id="rId244" Type="http://schemas.openxmlformats.org/officeDocument/2006/relationships/hyperlink" Target="http://refhub.elsevier.com/S2666-4976(24)00014-6/sref46" TargetMode="External"/><Relationship Id="rId18" Type="http://schemas.openxmlformats.org/officeDocument/2006/relationships/hyperlink" Target="http://refhub.elsevier.com/S2666-4976(24)00014-6/sref3" TargetMode="External"/><Relationship Id="rId39" Type="http://schemas.openxmlformats.org/officeDocument/2006/relationships/hyperlink" Target="http://refhub.elsevier.com/S2666-4976(24)00014-6/sref5" TargetMode="External"/><Relationship Id="rId50" Type="http://schemas.openxmlformats.org/officeDocument/2006/relationships/hyperlink" Target="http://refhub.elsevier.com/S2666-4976(24)00014-6/sref7" TargetMode="External"/><Relationship Id="rId104" Type="http://schemas.openxmlformats.org/officeDocument/2006/relationships/hyperlink" Target="http://refhub.elsevier.com/S2666-4976(24)00014-6/sref18" TargetMode="External"/><Relationship Id="rId125" Type="http://schemas.openxmlformats.org/officeDocument/2006/relationships/hyperlink" Target="http://refhub.elsevier.com/S2666-4976(24)00014-6/sref23" TargetMode="External"/><Relationship Id="rId146" Type="http://schemas.openxmlformats.org/officeDocument/2006/relationships/hyperlink" Target="http://refhub.elsevier.com/S2666-4976(24)00014-6/sref27" TargetMode="External"/><Relationship Id="rId167" Type="http://schemas.openxmlformats.org/officeDocument/2006/relationships/hyperlink" Target="http://refhub.elsevier.com/S2666-4976(24)00014-6/sref32" TargetMode="External"/><Relationship Id="rId188" Type="http://schemas.openxmlformats.org/officeDocument/2006/relationships/hyperlink" Target="http://refhub.elsevier.com/S2666-4976(24)00014-6/sref36" TargetMode="External"/><Relationship Id="rId71" Type="http://schemas.openxmlformats.org/officeDocument/2006/relationships/hyperlink" Target="http://refhub.elsevier.com/S2666-4976(24)00014-6/sref12" TargetMode="External"/><Relationship Id="rId92" Type="http://schemas.openxmlformats.org/officeDocument/2006/relationships/hyperlink" Target="http://refhub.elsevier.com/S2666-4976(24)00014-6/sref15" TargetMode="External"/><Relationship Id="rId213" Type="http://schemas.openxmlformats.org/officeDocument/2006/relationships/hyperlink" Target="http://refhub.elsevier.com/S2666-4976(24)00014-6/sref40" TargetMode="External"/><Relationship Id="rId234" Type="http://schemas.openxmlformats.org/officeDocument/2006/relationships/hyperlink" Target="http://refhub.elsevier.com/S2666-4976(24)00014-6/sref44" TargetMode="External"/><Relationship Id="rId2" Type="http://schemas.openxmlformats.org/officeDocument/2006/relationships/styles" Target="styles.xml"/><Relationship Id="rId29" Type="http://schemas.openxmlformats.org/officeDocument/2006/relationships/hyperlink" Target="http://refhub.elsevier.com/S2666-4976(24)00014-6/sref4" TargetMode="External"/><Relationship Id="rId255" Type="http://schemas.openxmlformats.org/officeDocument/2006/relationships/footer" Target="footer2.xml"/><Relationship Id="rId40" Type="http://schemas.openxmlformats.org/officeDocument/2006/relationships/hyperlink" Target="http://refhub.elsevier.com/S2666-4976(24)00014-6/sref6" TargetMode="External"/><Relationship Id="rId115" Type="http://schemas.openxmlformats.org/officeDocument/2006/relationships/hyperlink" Target="http://refhub.elsevier.com/S2666-4976(24)00014-6/sref21" TargetMode="External"/><Relationship Id="rId136" Type="http://schemas.openxmlformats.org/officeDocument/2006/relationships/hyperlink" Target="http://refhub.elsevier.com/S2666-4976(24)00014-6/sref25" TargetMode="External"/><Relationship Id="rId157" Type="http://schemas.openxmlformats.org/officeDocument/2006/relationships/hyperlink" Target="http://refhub.elsevier.com/S2666-4976(24)00014-6/sref30" TargetMode="External"/><Relationship Id="rId178" Type="http://schemas.openxmlformats.org/officeDocument/2006/relationships/hyperlink" Target="http://refhub.elsevier.com/S2666-4976(24)00014-6/sref33" TargetMode="External"/><Relationship Id="rId61" Type="http://schemas.openxmlformats.org/officeDocument/2006/relationships/hyperlink" Target="http://refhub.elsevier.com/S2666-4976(24)00014-6/sref10" TargetMode="External"/><Relationship Id="rId82" Type="http://schemas.openxmlformats.org/officeDocument/2006/relationships/hyperlink" Target="http://refhub.elsevier.com/S2666-4976(24)00014-6/sref14" TargetMode="External"/><Relationship Id="rId199" Type="http://schemas.openxmlformats.org/officeDocument/2006/relationships/hyperlink" Target="http://refhub.elsevier.com/S2666-4976(24)00014-6/sref38" TargetMode="External"/><Relationship Id="rId203" Type="http://schemas.openxmlformats.org/officeDocument/2006/relationships/hyperlink" Target="http://refhub.elsevier.com/S2666-4976(24)00014-6/sref38" TargetMode="External"/><Relationship Id="rId19" Type="http://schemas.openxmlformats.org/officeDocument/2006/relationships/hyperlink" Target="http://refhub.elsevier.com/S2666-4976(24)00014-6/sref3" TargetMode="External"/><Relationship Id="rId224" Type="http://schemas.openxmlformats.org/officeDocument/2006/relationships/hyperlink" Target="http://refhub.elsevier.com/S2666-4976(24)00014-6/sref42" TargetMode="External"/><Relationship Id="rId245" Type="http://schemas.openxmlformats.org/officeDocument/2006/relationships/hyperlink" Target="http://refhub.elsevier.com/S2666-4976(24)00014-6/sref46" TargetMode="External"/><Relationship Id="rId30" Type="http://schemas.openxmlformats.org/officeDocument/2006/relationships/hyperlink" Target="http://refhub.elsevier.com/S2666-4976(24)00014-6/sref4" TargetMode="External"/><Relationship Id="rId105" Type="http://schemas.openxmlformats.org/officeDocument/2006/relationships/hyperlink" Target="http://refhub.elsevier.com/S2666-4976(24)00014-6/sref18" TargetMode="External"/><Relationship Id="rId126" Type="http://schemas.openxmlformats.org/officeDocument/2006/relationships/hyperlink" Target="http://refhub.elsevier.com/S2666-4976(24)00014-6/sref23" TargetMode="External"/><Relationship Id="rId147" Type="http://schemas.openxmlformats.org/officeDocument/2006/relationships/hyperlink" Target="http://refhub.elsevier.com/S2666-4976(24)00014-6/sref28" TargetMode="External"/><Relationship Id="rId168" Type="http://schemas.openxmlformats.org/officeDocument/2006/relationships/hyperlink" Target="http://refhub.elsevier.com/S2666-4976(24)00014-6/sref33" TargetMode="External"/><Relationship Id="rId51" Type="http://schemas.openxmlformats.org/officeDocument/2006/relationships/hyperlink" Target="http://refhub.elsevier.com/S2666-4976(24)00014-6/sref7" TargetMode="External"/><Relationship Id="rId72" Type="http://schemas.openxmlformats.org/officeDocument/2006/relationships/hyperlink" Target="http://refhub.elsevier.com/S2666-4976(24)00014-6/sref12" TargetMode="External"/><Relationship Id="rId93" Type="http://schemas.openxmlformats.org/officeDocument/2006/relationships/hyperlink" Target="http://refhub.elsevier.com/S2666-4976(24)00014-6/sref16" TargetMode="External"/><Relationship Id="rId189" Type="http://schemas.openxmlformats.org/officeDocument/2006/relationships/hyperlink" Target="http://refhub.elsevier.com/S2666-4976(24)00014-6/sref36" TargetMode="External"/><Relationship Id="rId3" Type="http://schemas.openxmlformats.org/officeDocument/2006/relationships/settings" Target="settings.xml"/><Relationship Id="rId214" Type="http://schemas.openxmlformats.org/officeDocument/2006/relationships/hyperlink" Target="http://refhub.elsevier.com/S2666-4976(24)00014-6/sref40" TargetMode="External"/><Relationship Id="rId235" Type="http://schemas.openxmlformats.org/officeDocument/2006/relationships/hyperlink" Target="http://refhub.elsevier.com/S2666-4976(24)00014-6/sref44" TargetMode="External"/><Relationship Id="rId256" Type="http://schemas.openxmlformats.org/officeDocument/2006/relationships/header" Target="header3.xml"/><Relationship Id="rId116" Type="http://schemas.openxmlformats.org/officeDocument/2006/relationships/hyperlink" Target="http://refhub.elsevier.com/S2666-4976(24)00014-6/sref21" TargetMode="External"/><Relationship Id="rId137" Type="http://schemas.openxmlformats.org/officeDocument/2006/relationships/hyperlink" Target="http://refhub.elsevier.com/S2666-4976(24)00014-6/sref25" TargetMode="External"/><Relationship Id="rId158" Type="http://schemas.openxmlformats.org/officeDocument/2006/relationships/hyperlink" Target="http://refhub.elsevier.com/S2666-4976(24)00014-6/sref30" TargetMode="External"/><Relationship Id="rId20" Type="http://schemas.openxmlformats.org/officeDocument/2006/relationships/hyperlink" Target="http://refhub.elsevier.com/S2666-4976(24)00014-6/sref3" TargetMode="External"/><Relationship Id="rId41" Type="http://schemas.openxmlformats.org/officeDocument/2006/relationships/hyperlink" Target="http://refhub.elsevier.com/S2666-4976(24)00014-6/sref6" TargetMode="External"/><Relationship Id="rId62" Type="http://schemas.openxmlformats.org/officeDocument/2006/relationships/hyperlink" Target="http://refhub.elsevier.com/S2666-4976(24)00014-6/sref10" TargetMode="External"/><Relationship Id="rId83" Type="http://schemas.openxmlformats.org/officeDocument/2006/relationships/hyperlink" Target="http://refhub.elsevier.com/S2666-4976(24)00014-6/sref14" TargetMode="External"/><Relationship Id="rId179" Type="http://schemas.openxmlformats.org/officeDocument/2006/relationships/hyperlink" Target="http://refhub.elsevier.com/S2666-4976(24)00014-6/sref34" TargetMode="External"/><Relationship Id="rId190" Type="http://schemas.openxmlformats.org/officeDocument/2006/relationships/hyperlink" Target="http://refhub.elsevier.com/S2666-4976(24)00014-6/sref36" TargetMode="External"/><Relationship Id="rId204" Type="http://schemas.openxmlformats.org/officeDocument/2006/relationships/hyperlink" Target="http://refhub.elsevier.com/S2666-4976(24)00014-6/sref39" TargetMode="External"/><Relationship Id="rId225" Type="http://schemas.openxmlformats.org/officeDocument/2006/relationships/hyperlink" Target="http://refhub.elsevier.com/S2666-4976(24)00014-6/sref42" TargetMode="External"/><Relationship Id="rId246" Type="http://schemas.openxmlformats.org/officeDocument/2006/relationships/hyperlink" Target="http://refhub.elsevier.com/S2666-4976(24)00014-6/sref47" TargetMode="External"/><Relationship Id="rId106" Type="http://schemas.openxmlformats.org/officeDocument/2006/relationships/hyperlink" Target="http://refhub.elsevier.com/S2666-4976(24)00014-6/sref18" TargetMode="External"/><Relationship Id="rId127" Type="http://schemas.openxmlformats.org/officeDocument/2006/relationships/hyperlink" Target="http://refhub.elsevier.com/S2666-4976(24)00014-6/sref23" TargetMode="External"/><Relationship Id="rId10" Type="http://schemas.openxmlformats.org/officeDocument/2006/relationships/hyperlink" Target="http://refhub.elsevier.com/S2666-4976(24)00014-6/sref1" TargetMode="External"/><Relationship Id="rId31" Type="http://schemas.openxmlformats.org/officeDocument/2006/relationships/hyperlink" Target="http://refhub.elsevier.com/S2666-4976(24)00014-6/sref4" TargetMode="External"/><Relationship Id="rId52" Type="http://schemas.openxmlformats.org/officeDocument/2006/relationships/hyperlink" Target="http://refhub.elsevier.com/S2666-4976(24)00014-6/sref7" TargetMode="External"/><Relationship Id="rId73" Type="http://schemas.openxmlformats.org/officeDocument/2006/relationships/hyperlink" Target="http://refhub.elsevier.com/S2666-4976(24)00014-6/sref12" TargetMode="External"/><Relationship Id="rId94" Type="http://schemas.openxmlformats.org/officeDocument/2006/relationships/hyperlink" Target="http://refhub.elsevier.com/S2666-4976(24)00014-6/sref16" TargetMode="External"/><Relationship Id="rId148" Type="http://schemas.openxmlformats.org/officeDocument/2006/relationships/hyperlink" Target="http://refhub.elsevier.com/S2666-4976(24)00014-6/sref28" TargetMode="External"/><Relationship Id="rId169" Type="http://schemas.openxmlformats.org/officeDocument/2006/relationships/hyperlink" Target="http://refhub.elsevier.com/S2666-4976(24)00014-6/sref33" TargetMode="External"/><Relationship Id="rId4" Type="http://schemas.openxmlformats.org/officeDocument/2006/relationships/webSettings" Target="webSettings.xml"/><Relationship Id="rId180" Type="http://schemas.openxmlformats.org/officeDocument/2006/relationships/hyperlink" Target="http://refhub.elsevier.com/S2666-4976(24)00014-6/sref34" TargetMode="External"/><Relationship Id="rId215" Type="http://schemas.openxmlformats.org/officeDocument/2006/relationships/hyperlink" Target="http://refhub.elsevier.com/S2666-4976(24)00014-6/sref41" TargetMode="External"/><Relationship Id="rId236" Type="http://schemas.openxmlformats.org/officeDocument/2006/relationships/hyperlink" Target="http://refhub.elsevier.com/S2666-4976(24)00014-6/sref45" TargetMode="External"/><Relationship Id="rId25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8437</Words>
  <Characters>48096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Coronavirus disease 2019 and its impact on the cognition of older adults: Unraveling the role of inflammation</vt:lpstr>
    </vt:vector>
  </TitlesOfParts>
  <Company>Novin Pendar</Company>
  <LinksUpToDate>false</LinksUpToDate>
  <CharactersWithSpaces>56421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Coronavirus disease 2019 and its impact on the cognition of older adults: Unraveling the role of inflammation</dc:title>
  <dc:subject>Comprehensive Psychoneuroendocrinology, 19 (2024) 100238. doi:10.1016/j.cpnec.2024.100238</dc:subject>
  <dc:creator>Shahrzad Mortazavi</dc:creator>
  <cp:keywords>COVID-19,Cognition,Depression,Biomarker,Aged</cp:keywords>
  <cp:lastModifiedBy>Dr-Nima Farhadi</cp:lastModifiedBy>
  <cp:revision>3</cp:revision>
  <dcterms:created xsi:type="dcterms:W3CDTF">2025-12-08T14:00:00Z</dcterms:created>
  <dcterms:modified xsi:type="dcterms:W3CDTF">2025-12-08T14:16:00Z</dcterms:modified>
</cp:coreProperties>
</file>