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3D72A" w14:textId="61FB6B02" w:rsidR="006E1A79" w:rsidRPr="00D355CA" w:rsidRDefault="00497BEC" w:rsidP="00D238C5">
      <w:pPr>
        <w:bidi/>
        <w:jc w:val="center"/>
        <w:rPr>
          <w:rFonts w:asciiTheme="majorBidi" w:hAnsiTheme="majorBidi" w:cs="B Nazanin"/>
          <w:b/>
          <w:bCs/>
          <w:sz w:val="32"/>
          <w:szCs w:val="32"/>
          <w:rtl/>
        </w:rPr>
      </w:pPr>
      <w:r w:rsidRPr="00D355CA">
        <w:rPr>
          <w:rFonts w:asciiTheme="majorBidi" w:hAnsiTheme="majorBidi" w:cs="B Nazanin"/>
          <w:b/>
          <w:bCs/>
          <w:sz w:val="32"/>
          <w:szCs w:val="32"/>
          <w:rtl/>
        </w:rPr>
        <w:t>اثربخشی آموزش مبتنی بر سلامت معنوی بر آگاهی دانشجویان دختر نسبت به واکسیناسیون ویروس پاپیلومای انسانی</w:t>
      </w:r>
    </w:p>
    <w:p w14:paraId="031F92BF" w14:textId="77777777" w:rsidR="00D238C5" w:rsidRPr="00D355CA" w:rsidRDefault="00D238C5" w:rsidP="00D238C5">
      <w:pPr>
        <w:bidi/>
        <w:jc w:val="both"/>
        <w:rPr>
          <w:rFonts w:asciiTheme="majorBidi" w:hAnsiTheme="majorBidi" w:cs="B Nazanin"/>
          <w:b/>
          <w:bCs/>
          <w:sz w:val="24"/>
          <w:szCs w:val="24"/>
          <w:vertAlign w:val="superscript"/>
          <w:rtl/>
          <w:lang w:bidi="fa-IR"/>
        </w:rPr>
      </w:pPr>
      <w:r w:rsidRPr="00D355CA">
        <w:rPr>
          <w:rFonts w:asciiTheme="majorBidi" w:hAnsiTheme="majorBidi" w:cs="B Nazanin"/>
          <w:b/>
          <w:bCs/>
          <w:sz w:val="24"/>
          <w:szCs w:val="24"/>
          <w:rtl/>
          <w:lang w:bidi="fa-IR"/>
        </w:rPr>
        <w:t>فائزه احسان فر</w:t>
      </w:r>
    </w:p>
    <w:p w14:paraId="6D4D4C13" w14:textId="77777777" w:rsidR="00D238C5" w:rsidRPr="00D355CA" w:rsidRDefault="00D238C5" w:rsidP="00D238C5">
      <w:pPr>
        <w:bidi/>
        <w:jc w:val="both"/>
        <w:rPr>
          <w:rFonts w:asciiTheme="majorBidi" w:hAnsiTheme="majorBidi" w:cs="B Nazanin"/>
          <w:lang w:bidi="fa-IR"/>
        </w:rPr>
      </w:pPr>
      <w:r w:rsidRPr="00D355CA">
        <w:rPr>
          <w:rFonts w:asciiTheme="majorBidi" w:hAnsiTheme="majorBidi" w:cs="B Nazanin"/>
          <w:rtl/>
          <w:lang w:bidi="fa-IR"/>
        </w:rPr>
        <w:t xml:space="preserve">کارشناسی ارشد پرستاری سلامت جامعه، گروه پرستاری سلامت جامعه، دانشکده پرستاری و مامایی، دانشگاه علوم پزشکی مشهد، مشهد، ایران. </w:t>
      </w:r>
      <w:r w:rsidRPr="00D355CA">
        <w:rPr>
          <w:rFonts w:asciiTheme="majorBidi" w:hAnsiTheme="majorBidi" w:cs="B Nazanin"/>
          <w:lang w:bidi="fa-IR"/>
        </w:rPr>
        <w:t>EhsanfarFZ4022@mums.ac.ir</w:t>
      </w:r>
    </w:p>
    <w:p w14:paraId="44CFA13C" w14:textId="29954D10" w:rsidR="00497BEC" w:rsidRPr="00D355CA" w:rsidRDefault="00497BEC" w:rsidP="00D238C5">
      <w:pPr>
        <w:bidi/>
        <w:jc w:val="both"/>
        <w:rPr>
          <w:rFonts w:asciiTheme="majorBidi" w:hAnsiTheme="majorBidi" w:cs="B Nazanin"/>
          <w:b/>
          <w:bCs/>
          <w:sz w:val="24"/>
          <w:szCs w:val="24"/>
        </w:rPr>
      </w:pPr>
      <w:r w:rsidRPr="00D355CA">
        <w:rPr>
          <w:rFonts w:asciiTheme="majorBidi" w:hAnsiTheme="majorBidi" w:cs="B Nazanin"/>
          <w:b/>
          <w:bCs/>
          <w:sz w:val="24"/>
          <w:szCs w:val="24"/>
          <w:rtl/>
        </w:rPr>
        <w:t>چکیده</w:t>
      </w:r>
    </w:p>
    <w:p w14:paraId="6AA14F70" w14:textId="6063B4F7" w:rsidR="006E1A79" w:rsidRPr="00D355CA" w:rsidRDefault="006E1A79" w:rsidP="00F10045">
      <w:pPr>
        <w:bidi/>
        <w:jc w:val="both"/>
        <w:rPr>
          <w:rFonts w:asciiTheme="majorBidi" w:hAnsiTheme="majorBidi" w:cs="B Nazanin"/>
          <w:sz w:val="24"/>
          <w:szCs w:val="24"/>
        </w:rPr>
      </w:pPr>
      <w:r w:rsidRPr="00D355CA">
        <w:rPr>
          <w:rFonts w:asciiTheme="majorBidi" w:hAnsiTheme="majorBidi" w:cs="B Nazanin"/>
          <w:sz w:val="24"/>
          <w:szCs w:val="24"/>
          <w:rtl/>
        </w:rPr>
        <w:t>زمینه و هدف: آگاهی ناکافی در مورد ویروس پاپیلومای انسانی</w:t>
      </w:r>
      <w:r w:rsidRPr="00D355CA">
        <w:rPr>
          <w:rFonts w:asciiTheme="majorBidi" w:hAnsiTheme="majorBidi" w:cs="B Nazanin"/>
          <w:sz w:val="24"/>
          <w:szCs w:val="24"/>
        </w:rPr>
        <w:t xml:space="preserve"> (HPV) </w:t>
      </w:r>
      <w:r w:rsidRPr="00D355CA">
        <w:rPr>
          <w:rFonts w:asciiTheme="majorBidi" w:hAnsiTheme="majorBidi" w:cs="B Nazanin"/>
          <w:sz w:val="24"/>
          <w:szCs w:val="24"/>
          <w:rtl/>
        </w:rPr>
        <w:t>و واکسیناسیون آن، یکی از چالش‌های مهم سلامت عمومی در جوانان است. این مطالعه با هدف بررسی تأثیر یک مداخله آموزشی تلفیقی مبتنی بر سلامت معنوی بر سطح آگاهی دانشجویان دختر در مورد واکسیناسیون</w:t>
      </w:r>
      <w:r w:rsidRPr="00D355CA">
        <w:rPr>
          <w:rFonts w:asciiTheme="majorBidi" w:hAnsiTheme="majorBidi" w:cs="B Nazanin"/>
          <w:sz w:val="24"/>
          <w:szCs w:val="24"/>
        </w:rPr>
        <w:t xml:space="preserve"> HPV </w:t>
      </w:r>
      <w:r w:rsidRPr="00D355CA">
        <w:rPr>
          <w:rFonts w:asciiTheme="majorBidi" w:hAnsiTheme="majorBidi" w:cs="B Nazanin"/>
          <w:sz w:val="24"/>
          <w:szCs w:val="24"/>
          <w:rtl/>
        </w:rPr>
        <w:t>انجام شد</w:t>
      </w:r>
      <w:r w:rsidRPr="00D355CA">
        <w:rPr>
          <w:rFonts w:asciiTheme="majorBidi" w:hAnsiTheme="majorBidi" w:cs="B Nazanin"/>
          <w:sz w:val="24"/>
          <w:szCs w:val="24"/>
        </w:rPr>
        <w:t>.</w:t>
      </w:r>
      <w:r w:rsidR="00110547" w:rsidRPr="00D355CA">
        <w:rPr>
          <w:rFonts w:asciiTheme="majorBidi" w:hAnsiTheme="majorBidi" w:cs="B Nazanin"/>
          <w:sz w:val="24"/>
          <w:szCs w:val="24"/>
        </w:rPr>
        <w:t xml:space="preserve"> </w:t>
      </w:r>
      <w:r w:rsidRPr="00D355CA">
        <w:rPr>
          <w:rFonts w:asciiTheme="majorBidi" w:hAnsiTheme="majorBidi" w:cs="B Nazanin"/>
          <w:sz w:val="24"/>
          <w:szCs w:val="24"/>
          <w:rtl/>
        </w:rPr>
        <w:t xml:space="preserve">مواد و روش‌ها: این پژوهش به‌صورت کارآزمایی تصادفی‌شده کنترل‌شده با طرح پیش‌آزمون-پس‌آزمون بر روی </w:t>
      </w:r>
      <w:r w:rsidRPr="00D355CA">
        <w:rPr>
          <w:rFonts w:asciiTheme="majorBidi" w:hAnsiTheme="majorBidi" w:cs="B Nazanin"/>
          <w:sz w:val="24"/>
          <w:szCs w:val="24"/>
          <w:rtl/>
          <w:lang w:bidi="fa-IR"/>
        </w:rPr>
        <w:t>۷۵</w:t>
      </w:r>
      <w:r w:rsidRPr="00D355CA">
        <w:rPr>
          <w:rFonts w:asciiTheme="majorBidi" w:hAnsiTheme="majorBidi" w:cs="B Nazanin"/>
          <w:sz w:val="24"/>
          <w:szCs w:val="24"/>
          <w:rtl/>
        </w:rPr>
        <w:t xml:space="preserve"> دانشجوی دختر دانشکده پرستاری و مامایی دانشگاه علوم پزشکی مشهد انجام شد. شرکت‌کنندگان به‌طور تصادفی به دو گروه مداخله (</w:t>
      </w:r>
      <w:r w:rsidRPr="00D355CA">
        <w:rPr>
          <w:rFonts w:asciiTheme="majorBidi" w:hAnsiTheme="majorBidi" w:cs="B Nazanin"/>
          <w:sz w:val="24"/>
          <w:szCs w:val="24"/>
          <w:rtl/>
          <w:lang w:bidi="fa-IR"/>
        </w:rPr>
        <w:t>۳۸</w:t>
      </w:r>
      <w:r w:rsidRPr="00D355CA">
        <w:rPr>
          <w:rFonts w:asciiTheme="majorBidi" w:hAnsiTheme="majorBidi" w:cs="B Nazanin"/>
          <w:sz w:val="24"/>
          <w:szCs w:val="24"/>
          <w:rtl/>
        </w:rPr>
        <w:t xml:space="preserve"> نفر) و کنترل (</w:t>
      </w:r>
      <w:r w:rsidRPr="00D355CA">
        <w:rPr>
          <w:rFonts w:asciiTheme="majorBidi" w:hAnsiTheme="majorBidi" w:cs="B Nazanin"/>
          <w:sz w:val="24"/>
          <w:szCs w:val="24"/>
          <w:rtl/>
          <w:lang w:bidi="fa-IR"/>
        </w:rPr>
        <w:t>۳۷</w:t>
      </w:r>
      <w:r w:rsidRPr="00D355CA">
        <w:rPr>
          <w:rFonts w:asciiTheme="majorBidi" w:hAnsiTheme="majorBidi" w:cs="B Nazanin"/>
          <w:sz w:val="24"/>
          <w:szCs w:val="24"/>
          <w:rtl/>
        </w:rPr>
        <w:t xml:space="preserve"> نفر) تقسیم شدند. ابزار گردآوری داده‌ها، پرسشنامه استاندارد آگاهی کا</w:t>
      </w:r>
      <w:r w:rsidR="00BF7D61" w:rsidRPr="00D355CA">
        <w:rPr>
          <w:rFonts w:asciiTheme="majorBidi" w:hAnsiTheme="majorBidi" w:cs="B Nazanin"/>
          <w:sz w:val="24"/>
          <w:szCs w:val="24"/>
          <w:rtl/>
        </w:rPr>
        <w:t>ز</w:t>
      </w:r>
      <w:r w:rsidRPr="00D355CA">
        <w:rPr>
          <w:rFonts w:asciiTheme="majorBidi" w:hAnsiTheme="majorBidi" w:cs="B Nazanin"/>
          <w:sz w:val="24"/>
          <w:szCs w:val="24"/>
          <w:rtl/>
        </w:rPr>
        <w:t>رانی و عابدی (</w:t>
      </w:r>
      <w:r w:rsidRPr="00D355CA">
        <w:rPr>
          <w:rFonts w:asciiTheme="majorBidi" w:hAnsiTheme="majorBidi" w:cs="B Nazanin"/>
          <w:sz w:val="24"/>
          <w:szCs w:val="24"/>
          <w:rtl/>
          <w:lang w:bidi="fa-IR"/>
        </w:rPr>
        <w:t xml:space="preserve">۲۰۱۹) </w:t>
      </w:r>
      <w:r w:rsidRPr="00D355CA">
        <w:rPr>
          <w:rFonts w:asciiTheme="majorBidi" w:hAnsiTheme="majorBidi" w:cs="B Nazanin"/>
          <w:sz w:val="24"/>
          <w:szCs w:val="24"/>
          <w:rtl/>
        </w:rPr>
        <w:t>بود. گروه مداخله، یک برنامه آموزشی ترکیبی</w:t>
      </w:r>
      <w:r w:rsidRPr="00D355CA">
        <w:rPr>
          <w:rFonts w:asciiTheme="majorBidi" w:hAnsiTheme="majorBidi" w:cs="B Nazanin"/>
          <w:sz w:val="24"/>
          <w:szCs w:val="24"/>
        </w:rPr>
        <w:t xml:space="preserve"> </w:t>
      </w:r>
      <w:r w:rsidRPr="00D355CA">
        <w:rPr>
          <w:rFonts w:asciiTheme="majorBidi" w:hAnsiTheme="majorBidi" w:cs="B Nazanin"/>
          <w:sz w:val="24"/>
          <w:szCs w:val="24"/>
          <w:rtl/>
        </w:rPr>
        <w:t>شامل محتوای سلامت معنوی و آموزش</w:t>
      </w:r>
      <w:r w:rsidRPr="00D355CA">
        <w:rPr>
          <w:rFonts w:asciiTheme="majorBidi" w:hAnsiTheme="majorBidi" w:cs="B Nazanin"/>
          <w:sz w:val="24"/>
          <w:szCs w:val="24"/>
        </w:rPr>
        <w:t xml:space="preserve"> HPV </w:t>
      </w:r>
      <w:r w:rsidRPr="00D355CA">
        <w:rPr>
          <w:rFonts w:asciiTheme="majorBidi" w:hAnsiTheme="majorBidi" w:cs="B Nazanin"/>
          <w:sz w:val="24"/>
          <w:szCs w:val="24"/>
          <w:rtl/>
        </w:rPr>
        <w:t>را در شش جلسه دریافت کردند، در حالی که گروه کنترل تنها آموزش معمول را گذراندند. داده‌ها با استفاده از آزمون‌های من-ویتنی و ویلکاکسون در نرم‌افزار</w:t>
      </w:r>
      <w:r w:rsidRPr="00D355CA">
        <w:rPr>
          <w:rFonts w:asciiTheme="majorBidi" w:hAnsiTheme="majorBidi" w:cs="B Nazanin"/>
          <w:sz w:val="24"/>
          <w:szCs w:val="24"/>
        </w:rPr>
        <w:t xml:space="preserve"> SPSS </w:t>
      </w:r>
      <w:r w:rsidRPr="00D355CA">
        <w:rPr>
          <w:rFonts w:asciiTheme="majorBidi" w:hAnsiTheme="majorBidi" w:cs="B Nazanin"/>
          <w:sz w:val="24"/>
          <w:szCs w:val="24"/>
          <w:rtl/>
        </w:rPr>
        <w:t>تحلیل شدند</w:t>
      </w:r>
      <w:r w:rsidRPr="00D355CA">
        <w:rPr>
          <w:rFonts w:asciiTheme="majorBidi" w:hAnsiTheme="majorBidi" w:cs="B Nazanin"/>
          <w:sz w:val="24"/>
          <w:szCs w:val="24"/>
        </w:rPr>
        <w:t>.</w:t>
      </w:r>
      <w:r w:rsidR="00110547" w:rsidRPr="00D355CA">
        <w:rPr>
          <w:rFonts w:asciiTheme="majorBidi" w:hAnsiTheme="majorBidi" w:cs="B Nazanin"/>
          <w:sz w:val="24"/>
          <w:szCs w:val="24"/>
        </w:rPr>
        <w:t xml:space="preserve"> </w:t>
      </w:r>
      <w:r w:rsidRPr="00D355CA">
        <w:rPr>
          <w:rFonts w:asciiTheme="majorBidi" w:hAnsiTheme="majorBidi" w:cs="B Nazanin"/>
          <w:sz w:val="24"/>
          <w:szCs w:val="24"/>
          <w:rtl/>
        </w:rPr>
        <w:t xml:space="preserve">یافته‌ها: پس از مداخله، میانگین نمره آگاهی در گروه مداخله از </w:t>
      </w:r>
      <w:r w:rsidR="007F51F9" w:rsidRPr="00D355CA">
        <w:rPr>
          <w:rFonts w:asciiTheme="majorBidi" w:hAnsiTheme="majorBidi" w:cs="B Nazanin"/>
          <w:sz w:val="24"/>
          <w:szCs w:val="24"/>
          <w:rtl/>
          <w:lang w:bidi="fa-IR"/>
        </w:rPr>
        <w:t>84/24</w:t>
      </w:r>
      <w:r w:rsidRPr="00D355CA">
        <w:rPr>
          <w:rFonts w:asciiTheme="majorBidi" w:hAnsiTheme="majorBidi" w:cs="B Nazanin"/>
          <w:sz w:val="24"/>
          <w:szCs w:val="24"/>
          <w:rtl/>
        </w:rPr>
        <w:t xml:space="preserve"> به </w:t>
      </w:r>
      <w:r w:rsidR="007F51F9" w:rsidRPr="00D355CA">
        <w:rPr>
          <w:rFonts w:asciiTheme="majorBidi" w:hAnsiTheme="majorBidi" w:cs="B Nazanin"/>
          <w:sz w:val="24"/>
          <w:szCs w:val="24"/>
          <w:rtl/>
          <w:lang w:bidi="fa-IR"/>
        </w:rPr>
        <w:t>11/31</w:t>
      </w:r>
      <w:r w:rsidRPr="00D355CA">
        <w:rPr>
          <w:rFonts w:asciiTheme="majorBidi" w:hAnsiTheme="majorBidi" w:cs="B Nazanin"/>
          <w:sz w:val="24"/>
          <w:szCs w:val="24"/>
          <w:rtl/>
        </w:rPr>
        <w:t xml:space="preserve"> افزایش معناداری یافت</w:t>
      </w:r>
      <w:r w:rsidR="007F51F9" w:rsidRPr="00D355CA">
        <w:rPr>
          <w:rFonts w:asciiTheme="majorBidi" w:hAnsiTheme="majorBidi" w:cs="B Nazanin"/>
          <w:sz w:val="24"/>
          <w:szCs w:val="24"/>
          <w:rtl/>
        </w:rPr>
        <w:t xml:space="preserve"> </w:t>
      </w:r>
      <w:r w:rsidR="007F51F9" w:rsidRPr="00D355CA">
        <w:rPr>
          <w:rFonts w:asciiTheme="majorBidi" w:hAnsiTheme="majorBidi" w:cs="B Nazanin"/>
          <w:sz w:val="24"/>
          <w:szCs w:val="24"/>
          <w:rtl/>
          <w:lang w:bidi="fa-IR"/>
        </w:rPr>
        <w:t>(001/0 &gt;</w:t>
      </w:r>
      <w:r w:rsidR="007F51F9" w:rsidRPr="00D355CA">
        <w:rPr>
          <w:rFonts w:asciiTheme="majorBidi" w:hAnsiTheme="majorBidi" w:cs="B Nazanin"/>
          <w:sz w:val="24"/>
          <w:szCs w:val="24"/>
          <w:lang w:bidi="fa-IR"/>
        </w:rPr>
        <w:t xml:space="preserve"> P</w:t>
      </w:r>
      <w:r w:rsidR="007F51F9" w:rsidRPr="00D355CA">
        <w:rPr>
          <w:rFonts w:asciiTheme="majorBidi" w:hAnsiTheme="majorBidi" w:cs="B Nazanin"/>
          <w:sz w:val="24"/>
          <w:szCs w:val="24"/>
          <w:rtl/>
          <w:lang w:bidi="fa-IR"/>
        </w:rPr>
        <w:t>)</w:t>
      </w:r>
      <w:r w:rsidRPr="00D355CA">
        <w:rPr>
          <w:rFonts w:asciiTheme="majorBidi" w:hAnsiTheme="majorBidi" w:cs="B Nazanin"/>
          <w:sz w:val="24"/>
          <w:szCs w:val="24"/>
        </w:rPr>
        <w:t xml:space="preserve"> </w:t>
      </w:r>
      <w:r w:rsidRPr="00D355CA">
        <w:rPr>
          <w:rFonts w:asciiTheme="majorBidi" w:hAnsiTheme="majorBidi" w:cs="B Nazanin"/>
          <w:sz w:val="24"/>
          <w:szCs w:val="24"/>
          <w:rtl/>
        </w:rPr>
        <w:t>در گروه کنترل، تغییر معناداری مشاهده نشد</w:t>
      </w:r>
      <w:r w:rsidRPr="00D355CA">
        <w:rPr>
          <w:rFonts w:asciiTheme="majorBidi" w:hAnsiTheme="majorBidi" w:cs="B Nazanin"/>
          <w:sz w:val="24"/>
          <w:szCs w:val="24"/>
        </w:rPr>
        <w:t xml:space="preserve"> </w:t>
      </w:r>
      <w:r w:rsidR="007F51F9" w:rsidRPr="00D355CA">
        <w:rPr>
          <w:rFonts w:asciiTheme="majorBidi" w:hAnsiTheme="majorBidi" w:cs="B Nazanin"/>
          <w:sz w:val="24"/>
          <w:szCs w:val="24"/>
          <w:rtl/>
          <w:lang w:bidi="fa-IR"/>
        </w:rPr>
        <w:t xml:space="preserve">35/25 </w:t>
      </w:r>
      <w:r w:rsidRPr="00D355CA">
        <w:rPr>
          <w:rFonts w:asciiTheme="majorBidi" w:hAnsiTheme="majorBidi" w:cs="B Nazanin"/>
          <w:sz w:val="24"/>
          <w:szCs w:val="24"/>
          <w:rtl/>
        </w:rPr>
        <w:t xml:space="preserve">به </w:t>
      </w:r>
      <w:r w:rsidR="007F51F9" w:rsidRPr="00D355CA">
        <w:rPr>
          <w:rFonts w:asciiTheme="majorBidi" w:hAnsiTheme="majorBidi" w:cs="B Nazanin"/>
          <w:sz w:val="24"/>
          <w:szCs w:val="24"/>
          <w:rtl/>
        </w:rPr>
        <w:t>81/25،</w:t>
      </w:r>
      <w:r w:rsidRPr="00D355CA">
        <w:rPr>
          <w:rFonts w:asciiTheme="majorBidi" w:hAnsiTheme="majorBidi" w:cs="B Nazanin"/>
          <w:sz w:val="24"/>
          <w:szCs w:val="24"/>
          <w:rtl/>
        </w:rPr>
        <w:t xml:space="preserve"> </w:t>
      </w:r>
      <w:r w:rsidR="007F51F9" w:rsidRPr="00D355CA">
        <w:rPr>
          <w:rFonts w:asciiTheme="majorBidi" w:hAnsiTheme="majorBidi" w:cs="B Nazanin"/>
          <w:sz w:val="24"/>
          <w:szCs w:val="24"/>
          <w:rtl/>
        </w:rPr>
        <w:t xml:space="preserve">( 151/0 &gt; </w:t>
      </w:r>
      <w:r w:rsidR="007F51F9" w:rsidRPr="00D355CA">
        <w:rPr>
          <w:rFonts w:asciiTheme="majorBidi" w:hAnsiTheme="majorBidi" w:cs="B Nazanin"/>
          <w:sz w:val="24"/>
          <w:szCs w:val="24"/>
        </w:rPr>
        <w:t>P</w:t>
      </w:r>
      <w:r w:rsidR="007F51F9" w:rsidRPr="00D355CA">
        <w:rPr>
          <w:rFonts w:asciiTheme="majorBidi" w:hAnsiTheme="majorBidi" w:cs="B Nazanin"/>
          <w:sz w:val="24"/>
          <w:szCs w:val="24"/>
          <w:rtl/>
          <w:lang w:bidi="fa-IR"/>
        </w:rPr>
        <w:t xml:space="preserve"> )</w:t>
      </w:r>
      <w:r w:rsidRPr="00D355CA">
        <w:rPr>
          <w:rFonts w:asciiTheme="majorBidi" w:hAnsiTheme="majorBidi" w:cs="B Nazanin"/>
          <w:sz w:val="24"/>
          <w:szCs w:val="24"/>
          <w:rtl/>
        </w:rPr>
        <w:t xml:space="preserve"> نمره آگاهی بین دو گروه در پس‌آزمون نیز معنادار بود</w:t>
      </w:r>
      <w:r w:rsidR="007F51F9" w:rsidRPr="00D355CA">
        <w:rPr>
          <w:rFonts w:asciiTheme="majorBidi" w:hAnsiTheme="majorBidi" w:cs="B Nazanin"/>
          <w:sz w:val="24"/>
          <w:szCs w:val="24"/>
          <w:rtl/>
        </w:rPr>
        <w:t xml:space="preserve"> </w:t>
      </w:r>
      <w:r w:rsidR="007F51F9" w:rsidRPr="00D355CA">
        <w:rPr>
          <w:rFonts w:asciiTheme="majorBidi" w:hAnsiTheme="majorBidi" w:cs="B Nazanin"/>
          <w:sz w:val="24"/>
          <w:szCs w:val="24"/>
          <w:rtl/>
          <w:lang w:bidi="fa-IR"/>
        </w:rPr>
        <w:t>(001/0 &gt;</w:t>
      </w:r>
      <w:r w:rsidR="007F51F9" w:rsidRPr="00D355CA">
        <w:rPr>
          <w:rFonts w:asciiTheme="majorBidi" w:hAnsiTheme="majorBidi" w:cs="B Nazanin"/>
          <w:sz w:val="24"/>
          <w:szCs w:val="24"/>
          <w:lang w:bidi="fa-IR"/>
        </w:rPr>
        <w:t xml:space="preserve"> P</w:t>
      </w:r>
      <w:r w:rsidR="007F51F9" w:rsidRPr="00D355CA">
        <w:rPr>
          <w:rFonts w:asciiTheme="majorBidi" w:hAnsiTheme="majorBidi" w:cs="B Nazanin"/>
          <w:sz w:val="24"/>
          <w:szCs w:val="24"/>
          <w:rtl/>
          <w:lang w:bidi="fa-IR"/>
        </w:rPr>
        <w:t>).</w:t>
      </w:r>
      <w:r w:rsidR="00F10045" w:rsidRPr="00D355CA">
        <w:rPr>
          <w:rFonts w:asciiTheme="majorBidi" w:hAnsiTheme="majorBidi" w:cs="B Nazanin"/>
          <w:sz w:val="24"/>
          <w:szCs w:val="24"/>
          <w:rtl/>
        </w:rPr>
        <w:t xml:space="preserve"> </w:t>
      </w:r>
      <w:r w:rsidRPr="00D355CA">
        <w:rPr>
          <w:rFonts w:asciiTheme="majorBidi" w:hAnsiTheme="majorBidi" w:cs="B Nazanin"/>
          <w:sz w:val="24"/>
          <w:szCs w:val="24"/>
          <w:rtl/>
        </w:rPr>
        <w:t>این رویکرد، به‌عنوان یک روش آموزشی سازگار و مؤثر، قابلیت ادغام در برنامه‌های ارتقای سلامت جوانان را دارد</w:t>
      </w:r>
      <w:r w:rsidRPr="00D355CA">
        <w:rPr>
          <w:rFonts w:asciiTheme="majorBidi" w:hAnsiTheme="majorBidi" w:cs="B Nazanin"/>
          <w:sz w:val="24"/>
          <w:szCs w:val="24"/>
        </w:rPr>
        <w:t>.</w:t>
      </w:r>
    </w:p>
    <w:p w14:paraId="0883B994" w14:textId="77777777" w:rsidR="00E11E6F" w:rsidRPr="00D355CA" w:rsidRDefault="00E11E6F" w:rsidP="00E11E6F">
      <w:pPr>
        <w:bidi/>
        <w:jc w:val="both"/>
        <w:rPr>
          <w:rFonts w:asciiTheme="majorBidi" w:hAnsiTheme="majorBidi" w:cs="B Nazanin"/>
          <w:b/>
          <w:bCs/>
          <w:sz w:val="24"/>
          <w:szCs w:val="24"/>
          <w:rtl/>
          <w:lang w:bidi="fa-IR"/>
        </w:rPr>
      </w:pPr>
      <w:r w:rsidRPr="00D355CA">
        <w:rPr>
          <w:rFonts w:asciiTheme="majorBidi" w:hAnsiTheme="majorBidi" w:cs="B Nazanin"/>
          <w:b/>
          <w:bCs/>
          <w:sz w:val="24"/>
          <w:szCs w:val="24"/>
          <w:rtl/>
          <w:lang w:bidi="fa-IR"/>
        </w:rPr>
        <w:t>واژگان کلیدی:</w:t>
      </w:r>
    </w:p>
    <w:p w14:paraId="1C91A637" w14:textId="40730562" w:rsidR="006E1A79" w:rsidRPr="00D355CA" w:rsidRDefault="006E1A79" w:rsidP="00CD4BA3">
      <w:pPr>
        <w:bidi/>
        <w:jc w:val="both"/>
        <w:rPr>
          <w:rFonts w:asciiTheme="majorBidi" w:hAnsiTheme="majorBidi" w:cs="B Nazanin"/>
          <w:sz w:val="24"/>
          <w:szCs w:val="24"/>
        </w:rPr>
      </w:pPr>
      <w:r w:rsidRPr="00D355CA">
        <w:rPr>
          <w:rFonts w:asciiTheme="majorBidi" w:hAnsiTheme="majorBidi" w:cs="B Nazanin"/>
          <w:sz w:val="24"/>
          <w:szCs w:val="24"/>
          <w:rtl/>
        </w:rPr>
        <w:t>سلامت معنوی، آگاهی، ویروس پاپیلومای انسانی، واکسیناسیون، دانشجویان دختر</w:t>
      </w:r>
      <w:r w:rsidRPr="00D355CA">
        <w:rPr>
          <w:rFonts w:asciiTheme="majorBidi" w:hAnsiTheme="majorBidi" w:cs="B Nazanin"/>
          <w:sz w:val="24"/>
          <w:szCs w:val="24"/>
        </w:rPr>
        <w:t>.</w:t>
      </w:r>
    </w:p>
    <w:p w14:paraId="66763BFC" w14:textId="1AA25C88" w:rsidR="006E1A79" w:rsidRPr="00D355CA" w:rsidRDefault="006E1A79" w:rsidP="00CD4BA3">
      <w:pPr>
        <w:bidi/>
        <w:jc w:val="both"/>
        <w:rPr>
          <w:rFonts w:asciiTheme="majorBidi" w:hAnsiTheme="majorBidi" w:cs="B Nazanin"/>
          <w:sz w:val="24"/>
          <w:szCs w:val="24"/>
          <w:rtl/>
        </w:rPr>
      </w:pPr>
    </w:p>
    <w:p w14:paraId="61C48AFF" w14:textId="17A2574C" w:rsidR="006E1A79" w:rsidRPr="00D355CA" w:rsidRDefault="006E1A79" w:rsidP="00CD4BA3">
      <w:pPr>
        <w:bidi/>
        <w:jc w:val="both"/>
        <w:rPr>
          <w:rFonts w:asciiTheme="majorBidi" w:hAnsiTheme="majorBidi" w:cs="B Nazanin"/>
          <w:sz w:val="24"/>
          <w:szCs w:val="24"/>
          <w:rtl/>
        </w:rPr>
      </w:pPr>
    </w:p>
    <w:p w14:paraId="49FBB827" w14:textId="58D49D30" w:rsidR="00E11E6F" w:rsidRPr="00D355CA" w:rsidRDefault="00E11E6F" w:rsidP="00E11E6F">
      <w:pPr>
        <w:bidi/>
        <w:jc w:val="both"/>
        <w:rPr>
          <w:rFonts w:asciiTheme="majorBidi" w:hAnsiTheme="majorBidi" w:cs="B Nazanin"/>
          <w:sz w:val="24"/>
          <w:szCs w:val="24"/>
          <w:rtl/>
        </w:rPr>
      </w:pPr>
    </w:p>
    <w:p w14:paraId="6F9F1F4A" w14:textId="46804674" w:rsidR="00E11E6F" w:rsidRPr="00D355CA" w:rsidRDefault="00E11E6F" w:rsidP="00E11E6F">
      <w:pPr>
        <w:bidi/>
        <w:jc w:val="both"/>
        <w:rPr>
          <w:rFonts w:asciiTheme="majorBidi" w:hAnsiTheme="majorBidi" w:cs="B Nazanin"/>
          <w:sz w:val="24"/>
          <w:szCs w:val="24"/>
          <w:rtl/>
        </w:rPr>
      </w:pPr>
    </w:p>
    <w:p w14:paraId="421BB19F" w14:textId="3B7A06AA" w:rsidR="00E11E6F" w:rsidRPr="00D355CA" w:rsidRDefault="00E11E6F" w:rsidP="00E11E6F">
      <w:pPr>
        <w:bidi/>
        <w:jc w:val="both"/>
        <w:rPr>
          <w:rFonts w:asciiTheme="majorBidi" w:hAnsiTheme="majorBidi" w:cs="B Nazanin"/>
          <w:sz w:val="24"/>
          <w:szCs w:val="24"/>
          <w:rtl/>
        </w:rPr>
      </w:pPr>
    </w:p>
    <w:p w14:paraId="535E82CB" w14:textId="6BCC9A2F" w:rsidR="00E11E6F" w:rsidRPr="00D355CA" w:rsidRDefault="00E11E6F" w:rsidP="00E11E6F">
      <w:pPr>
        <w:bidi/>
        <w:jc w:val="both"/>
        <w:rPr>
          <w:rFonts w:asciiTheme="majorBidi" w:hAnsiTheme="majorBidi" w:cs="B Nazanin"/>
          <w:sz w:val="24"/>
          <w:szCs w:val="24"/>
          <w:rtl/>
        </w:rPr>
      </w:pPr>
    </w:p>
    <w:p w14:paraId="2343E141" w14:textId="77777777" w:rsidR="00E11E6F" w:rsidRPr="00D355CA" w:rsidRDefault="00E11E6F" w:rsidP="00E11E6F">
      <w:pPr>
        <w:bidi/>
        <w:jc w:val="both"/>
        <w:rPr>
          <w:rFonts w:asciiTheme="majorBidi" w:hAnsiTheme="majorBidi" w:cs="B Nazanin"/>
          <w:sz w:val="24"/>
          <w:szCs w:val="24"/>
          <w:rtl/>
        </w:rPr>
      </w:pPr>
    </w:p>
    <w:p w14:paraId="4CF07827" w14:textId="7E254EE7" w:rsidR="006E1A79" w:rsidRPr="00D355CA" w:rsidRDefault="006E1A79" w:rsidP="00CD4BA3">
      <w:pPr>
        <w:bidi/>
        <w:jc w:val="both"/>
        <w:rPr>
          <w:rFonts w:asciiTheme="majorBidi" w:hAnsiTheme="majorBidi" w:cs="B Nazanin"/>
          <w:sz w:val="24"/>
          <w:szCs w:val="24"/>
        </w:rPr>
      </w:pPr>
      <w:r w:rsidRPr="00D355CA">
        <w:rPr>
          <w:rFonts w:asciiTheme="majorBidi" w:hAnsiTheme="majorBidi" w:cs="B Nazanin"/>
          <w:b/>
          <w:bCs/>
          <w:sz w:val="24"/>
          <w:szCs w:val="24"/>
          <w:rtl/>
        </w:rPr>
        <w:lastRenderedPageBreak/>
        <w:t>مقدمه</w:t>
      </w:r>
    </w:p>
    <w:p w14:paraId="341F5891" w14:textId="77777777" w:rsidR="006E1A79" w:rsidRPr="00D355CA" w:rsidRDefault="006E1A79" w:rsidP="00CD4BA3">
      <w:pPr>
        <w:bidi/>
        <w:jc w:val="both"/>
        <w:rPr>
          <w:rFonts w:asciiTheme="majorBidi" w:hAnsiTheme="majorBidi" w:cs="B Nazanin"/>
          <w:sz w:val="24"/>
          <w:szCs w:val="24"/>
        </w:rPr>
      </w:pPr>
      <w:r w:rsidRPr="00D355CA">
        <w:rPr>
          <w:rFonts w:asciiTheme="majorBidi" w:hAnsiTheme="majorBidi" w:cs="B Nazanin"/>
          <w:sz w:val="24"/>
          <w:szCs w:val="24"/>
          <w:rtl/>
        </w:rPr>
        <w:t>ویروس پاپیلومای انسانی</w:t>
      </w:r>
      <w:r w:rsidRPr="00D355CA">
        <w:rPr>
          <w:rFonts w:asciiTheme="majorBidi" w:hAnsiTheme="majorBidi" w:cs="B Nazanin"/>
          <w:sz w:val="24"/>
          <w:szCs w:val="24"/>
        </w:rPr>
        <w:t xml:space="preserve"> (HPV) </w:t>
      </w:r>
      <w:r w:rsidRPr="00D355CA">
        <w:rPr>
          <w:rFonts w:asciiTheme="majorBidi" w:hAnsiTheme="majorBidi" w:cs="B Nazanin"/>
          <w:sz w:val="24"/>
          <w:szCs w:val="24"/>
          <w:rtl/>
        </w:rPr>
        <w:t>یکی از شایع‌ترین عفونت‌های ویروسی منتقله از راه جنسی در سراسر جهان است که با طیف گسترده‌ای از عوارض بهداشتی، از جمله ضایعات پیش‌سرطانی و سرطان‌های دهانه رحم، دستگاه تناسلی و اوروفارنکس همراه می‌باشد. مطالعات اپیدمیولوژیک نشان می‌دهند که میزان بروز و شیوع این عفونت در سال‌های اخیر، به ویژه در بین جوانان و نوجوانان، روندی افزایشی داشته است. در ایران نیز با توجه به تغییرات الگوی رفتاری و اجتماعی، نگرانی‌های فزاینده‌ای در زمینه گسترش عفونت‌های مقاربتی از جمله</w:t>
      </w:r>
      <w:r w:rsidRPr="00D355CA">
        <w:rPr>
          <w:rFonts w:asciiTheme="majorBidi" w:hAnsiTheme="majorBidi" w:cs="B Nazanin"/>
          <w:sz w:val="24"/>
          <w:szCs w:val="24"/>
        </w:rPr>
        <w:t xml:space="preserve"> HPV </w:t>
      </w:r>
      <w:r w:rsidRPr="00D355CA">
        <w:rPr>
          <w:rFonts w:asciiTheme="majorBidi" w:hAnsiTheme="majorBidi" w:cs="B Nazanin"/>
          <w:sz w:val="24"/>
          <w:szCs w:val="24"/>
          <w:rtl/>
        </w:rPr>
        <w:t>وجود دارد</w:t>
      </w:r>
      <w:r w:rsidRPr="00D355CA">
        <w:rPr>
          <w:rFonts w:asciiTheme="majorBidi" w:hAnsiTheme="majorBidi" w:cs="B Nazanin"/>
          <w:sz w:val="24"/>
          <w:szCs w:val="24"/>
        </w:rPr>
        <w:t>.</w:t>
      </w:r>
    </w:p>
    <w:p w14:paraId="50ACBC17" w14:textId="77777777" w:rsidR="006E1A79" w:rsidRPr="00D355CA" w:rsidRDefault="006E1A79" w:rsidP="00CD4BA3">
      <w:pPr>
        <w:bidi/>
        <w:jc w:val="both"/>
        <w:rPr>
          <w:rFonts w:asciiTheme="majorBidi" w:hAnsiTheme="majorBidi" w:cs="B Nazanin"/>
          <w:sz w:val="24"/>
          <w:szCs w:val="24"/>
        </w:rPr>
      </w:pPr>
      <w:r w:rsidRPr="00D355CA">
        <w:rPr>
          <w:rFonts w:asciiTheme="majorBidi" w:hAnsiTheme="majorBidi" w:cs="B Nazanin"/>
          <w:sz w:val="24"/>
          <w:szCs w:val="24"/>
          <w:rtl/>
        </w:rPr>
        <w:t>یکی از مؤثرترین راهکارهای پیشگیری اولیه از عفونت</w:t>
      </w:r>
      <w:r w:rsidRPr="00D355CA">
        <w:rPr>
          <w:rFonts w:asciiTheme="majorBidi" w:hAnsiTheme="majorBidi" w:cs="B Nazanin"/>
          <w:sz w:val="24"/>
          <w:szCs w:val="24"/>
        </w:rPr>
        <w:t xml:space="preserve"> HPV </w:t>
      </w:r>
      <w:r w:rsidRPr="00D355CA">
        <w:rPr>
          <w:rFonts w:asciiTheme="majorBidi" w:hAnsiTheme="majorBidi" w:cs="B Nazanin"/>
          <w:sz w:val="24"/>
          <w:szCs w:val="24"/>
          <w:rtl/>
        </w:rPr>
        <w:t>و عوارض مرتبط با آن، واکسیناسیون به‌موقع است. با این حال، پوشش واکسیناسیون</w:t>
      </w:r>
      <w:r w:rsidRPr="00D355CA">
        <w:rPr>
          <w:rFonts w:asciiTheme="majorBidi" w:hAnsiTheme="majorBidi" w:cs="B Nazanin"/>
          <w:sz w:val="24"/>
          <w:szCs w:val="24"/>
        </w:rPr>
        <w:t xml:space="preserve"> HPV </w:t>
      </w:r>
      <w:r w:rsidRPr="00D355CA">
        <w:rPr>
          <w:rFonts w:asciiTheme="majorBidi" w:hAnsiTheme="majorBidi" w:cs="B Nazanin"/>
          <w:sz w:val="24"/>
          <w:szCs w:val="24"/>
          <w:rtl/>
        </w:rPr>
        <w:t>در بسیاری از کشورهای در حال توسعه، از جمله ایران، در سطح پایینی قرار دارد. عوامل متعددی در این زمینه نقش دارند که از جمله می‌توان به کمبود آگاهی عمومی در مورد ویروس، راه‌های انتقال، عوارض بالقوه و اهمیت واکسیناسیون، باورهای نادرست در مورد ایمنی و عوارض واکسن، محدودیت‌های دسترسی اقتصادی، و همچنین چالش‌های فرهنگی-اجتماعی در زمینه آموزش مسائل مرتبط با سلامت جنسی اشاره کرد</w:t>
      </w:r>
      <w:r w:rsidRPr="00D355CA">
        <w:rPr>
          <w:rFonts w:asciiTheme="majorBidi" w:hAnsiTheme="majorBidi" w:cs="B Nazanin"/>
          <w:sz w:val="24"/>
          <w:szCs w:val="24"/>
        </w:rPr>
        <w:t>.</w:t>
      </w:r>
    </w:p>
    <w:p w14:paraId="7FC47009" w14:textId="77777777" w:rsidR="006E1A79" w:rsidRPr="00D355CA" w:rsidRDefault="006E1A79" w:rsidP="00CD4BA3">
      <w:pPr>
        <w:bidi/>
        <w:jc w:val="both"/>
        <w:rPr>
          <w:rFonts w:asciiTheme="majorBidi" w:hAnsiTheme="majorBidi" w:cs="B Nazanin"/>
          <w:sz w:val="24"/>
          <w:szCs w:val="24"/>
        </w:rPr>
      </w:pPr>
      <w:r w:rsidRPr="00D355CA">
        <w:rPr>
          <w:rFonts w:asciiTheme="majorBidi" w:hAnsiTheme="majorBidi" w:cs="B Nazanin"/>
          <w:sz w:val="24"/>
          <w:szCs w:val="24"/>
          <w:rtl/>
        </w:rPr>
        <w:t>در چنین بستری، طراحی و اجرای مداخلات آموزشی مؤثر و سازگار با ارزش‌های فرهنگی-اجتماعی جامعه هدف، ضرورتی انکارناپذیر است. رویکردهای آموزشی صرفاً اطلاعات‌محور، اغلب در تغییر نگرش و رفتار پایدار موفقیت چندانی نداشته‌اند. از این رو، تلفیق آموزش بهداشتی با ابعاد معنوی و ارزشی می‌تواند راهبردی نوین و کارآمد باشد. سلامت معنوی، به عنوان بعدی کلیدی از سلامت کلی، بر احساس ارتباط با خود، دیگران، طبیعت و یک قدرت برتر تأکید دارد و می‌تواند درونی‌سازی ارزش سلامت، تقویت انگیزه درونی برای مراقبت از خود و افزایش تاب‌آوری در برابر فشارهای اجتماعی مؤثر واقع شود</w:t>
      </w:r>
      <w:r w:rsidRPr="00D355CA">
        <w:rPr>
          <w:rFonts w:asciiTheme="majorBidi" w:hAnsiTheme="majorBidi" w:cs="B Nazanin"/>
          <w:sz w:val="24"/>
          <w:szCs w:val="24"/>
        </w:rPr>
        <w:t>.</w:t>
      </w:r>
    </w:p>
    <w:p w14:paraId="79BEE9F5" w14:textId="1034FCE3" w:rsidR="006E1A79" w:rsidRPr="00D355CA" w:rsidRDefault="006E1A79" w:rsidP="00CD4BA3">
      <w:pPr>
        <w:bidi/>
        <w:jc w:val="both"/>
        <w:rPr>
          <w:rFonts w:asciiTheme="majorBidi" w:hAnsiTheme="majorBidi" w:cs="B Nazanin"/>
          <w:sz w:val="24"/>
          <w:szCs w:val="24"/>
        </w:rPr>
      </w:pPr>
      <w:r w:rsidRPr="00D355CA">
        <w:rPr>
          <w:rFonts w:asciiTheme="majorBidi" w:hAnsiTheme="majorBidi" w:cs="B Nazanin"/>
          <w:sz w:val="24"/>
          <w:szCs w:val="24"/>
          <w:rtl/>
        </w:rPr>
        <w:t>این مطالعه با هدف بررسی تأثیر یک</w:t>
      </w:r>
      <w:r w:rsidR="00E11E6F" w:rsidRPr="00D355CA">
        <w:rPr>
          <w:rFonts w:asciiTheme="majorBidi" w:hAnsiTheme="majorBidi" w:cs="B Nazanin"/>
          <w:sz w:val="24"/>
          <w:szCs w:val="24"/>
          <w:rtl/>
        </w:rPr>
        <w:t xml:space="preserve"> </w:t>
      </w:r>
      <w:r w:rsidRPr="00D355CA">
        <w:rPr>
          <w:rFonts w:asciiTheme="majorBidi" w:hAnsiTheme="majorBidi" w:cs="B Nazanin"/>
          <w:sz w:val="24"/>
          <w:szCs w:val="24"/>
          <w:rtl/>
        </w:rPr>
        <w:t>مداخله آموزشی تلفیقی ساختاریافته</w:t>
      </w:r>
      <w:r w:rsidR="00E11E6F" w:rsidRPr="00D355CA">
        <w:rPr>
          <w:rFonts w:asciiTheme="majorBidi" w:hAnsiTheme="majorBidi" w:cs="B Nazanin"/>
          <w:sz w:val="24"/>
          <w:szCs w:val="24"/>
          <w:rtl/>
        </w:rPr>
        <w:t xml:space="preserve"> </w:t>
      </w:r>
      <w:r w:rsidRPr="00D355CA">
        <w:rPr>
          <w:rFonts w:asciiTheme="majorBidi" w:hAnsiTheme="majorBidi" w:cs="B Nazanin"/>
          <w:sz w:val="24"/>
          <w:szCs w:val="24"/>
          <w:rtl/>
        </w:rPr>
        <w:t>که محتوای علمی مربوط به</w:t>
      </w:r>
      <w:r w:rsidRPr="00D355CA">
        <w:rPr>
          <w:rFonts w:asciiTheme="majorBidi" w:hAnsiTheme="majorBidi" w:cs="B Nazanin"/>
          <w:sz w:val="24"/>
          <w:szCs w:val="24"/>
        </w:rPr>
        <w:t xml:space="preserve"> HPV </w:t>
      </w:r>
      <w:r w:rsidRPr="00D355CA">
        <w:rPr>
          <w:rFonts w:asciiTheme="majorBidi" w:hAnsiTheme="majorBidi" w:cs="B Nazanin"/>
          <w:sz w:val="24"/>
          <w:szCs w:val="24"/>
          <w:rtl/>
        </w:rPr>
        <w:t>و واکسیناسیون را با مفاهیم و تمرین‌های ارتقادهنده سلامت معنوی ادغام می‌کند، بر</w:t>
      </w:r>
      <w:r w:rsidR="00E11E6F" w:rsidRPr="00D355CA">
        <w:rPr>
          <w:rFonts w:asciiTheme="majorBidi" w:hAnsiTheme="majorBidi" w:cs="B Nazanin"/>
          <w:sz w:val="24"/>
          <w:szCs w:val="24"/>
          <w:rtl/>
        </w:rPr>
        <w:t xml:space="preserve"> </w:t>
      </w:r>
      <w:r w:rsidRPr="00D355CA">
        <w:rPr>
          <w:rFonts w:asciiTheme="majorBidi" w:hAnsiTheme="majorBidi" w:cs="B Nazanin"/>
          <w:sz w:val="24"/>
          <w:szCs w:val="24"/>
          <w:rtl/>
        </w:rPr>
        <w:t>سطح آگاهی</w:t>
      </w:r>
      <w:r w:rsidR="00E11E6F" w:rsidRPr="00D355CA">
        <w:rPr>
          <w:rFonts w:asciiTheme="majorBidi" w:hAnsiTheme="majorBidi" w:cs="B Nazanin"/>
          <w:sz w:val="24"/>
          <w:szCs w:val="24"/>
          <w:rtl/>
        </w:rPr>
        <w:t xml:space="preserve"> </w:t>
      </w:r>
      <w:r w:rsidRPr="00D355CA">
        <w:rPr>
          <w:rFonts w:asciiTheme="majorBidi" w:hAnsiTheme="majorBidi" w:cs="B Nazanin"/>
          <w:sz w:val="24"/>
          <w:szCs w:val="24"/>
          <w:rtl/>
        </w:rPr>
        <w:t>دانشجویان دختر در این زمینه طراحی شد. فرضیه اصلی پژوهش بر این اساس است که رویکرد ترکیبی مذکور، در مقایسه با آموزش مرسوم، می‌تواند به شکل معنادارتری آگاهی هدفمند و پایدار را در جمعیت جوان ارتقا دهد</w:t>
      </w:r>
      <w:r w:rsidRPr="00D355CA">
        <w:rPr>
          <w:rFonts w:asciiTheme="majorBidi" w:hAnsiTheme="majorBidi" w:cs="B Nazanin"/>
          <w:sz w:val="24"/>
          <w:szCs w:val="24"/>
        </w:rPr>
        <w:t>.</w:t>
      </w:r>
    </w:p>
    <w:p w14:paraId="05F138BB" w14:textId="3B930C5B" w:rsidR="006E1A79" w:rsidRPr="00D355CA" w:rsidRDefault="006E1A79" w:rsidP="00CD4BA3">
      <w:pPr>
        <w:bidi/>
        <w:jc w:val="both"/>
        <w:rPr>
          <w:rFonts w:asciiTheme="majorBidi" w:hAnsiTheme="majorBidi" w:cs="B Nazanin"/>
          <w:sz w:val="24"/>
          <w:szCs w:val="24"/>
        </w:rPr>
      </w:pPr>
      <w:r w:rsidRPr="00D355CA">
        <w:rPr>
          <w:rFonts w:asciiTheme="majorBidi" w:hAnsiTheme="majorBidi" w:cs="B Nazanin"/>
          <w:b/>
          <w:bCs/>
          <w:sz w:val="24"/>
          <w:szCs w:val="24"/>
          <w:rtl/>
        </w:rPr>
        <w:t>روش</w:t>
      </w:r>
      <w:r w:rsidR="00636C04" w:rsidRPr="00D355CA">
        <w:rPr>
          <w:rFonts w:asciiTheme="majorBidi" w:hAnsiTheme="majorBidi" w:cs="B Nazanin"/>
          <w:b/>
          <w:bCs/>
          <w:sz w:val="24"/>
          <w:szCs w:val="24"/>
          <w:rtl/>
        </w:rPr>
        <w:t xml:space="preserve"> تحقیق</w:t>
      </w:r>
    </w:p>
    <w:p w14:paraId="3DAE0805" w14:textId="27E18A58" w:rsidR="006E1A79" w:rsidRPr="00D355CA" w:rsidRDefault="00BF7D61" w:rsidP="00CD4BA3">
      <w:pPr>
        <w:bidi/>
        <w:jc w:val="both"/>
        <w:rPr>
          <w:rFonts w:asciiTheme="majorBidi" w:hAnsiTheme="majorBidi" w:cs="B Nazanin"/>
          <w:sz w:val="24"/>
          <w:szCs w:val="24"/>
          <w:rtl/>
        </w:rPr>
      </w:pPr>
      <w:r w:rsidRPr="00D355CA">
        <w:rPr>
          <w:rFonts w:asciiTheme="majorBidi" w:hAnsiTheme="majorBidi" w:cs="B Nazanin"/>
          <w:sz w:val="24"/>
          <w:szCs w:val="24"/>
          <w:rtl/>
        </w:rPr>
        <w:t xml:space="preserve">روش کار این مطالعه به صورت یک کارآزمایی تصادفی‌شده کنترل‌شده با طرح پیش‌آزمون </w:t>
      </w:r>
      <w:r w:rsidRPr="00D355CA">
        <w:rPr>
          <w:rFonts w:ascii="Arial" w:hAnsi="Arial" w:cs="Arial" w:hint="cs"/>
          <w:sz w:val="24"/>
          <w:szCs w:val="24"/>
          <w:rtl/>
        </w:rPr>
        <w:t>–</w:t>
      </w:r>
      <w:r w:rsidRPr="00D355CA">
        <w:rPr>
          <w:rFonts w:asciiTheme="majorBidi" w:hAnsiTheme="majorBidi" w:cs="B Nazanin"/>
          <w:sz w:val="24"/>
          <w:szCs w:val="24"/>
          <w:rtl/>
        </w:rPr>
        <w:t xml:space="preserve"> پس‌آزمون بر روی دو گروه موازی (مداخله و کنترل) انجام شد. پروتکل پژوهش مورد تأیید کمیته اخلاق دانشگاه علوم پزشکی مشهد قرار گرفت</w:t>
      </w:r>
      <w:r w:rsidRPr="00D355CA">
        <w:rPr>
          <w:rFonts w:asciiTheme="majorBidi" w:hAnsiTheme="majorBidi" w:cs="B Nazanin"/>
          <w:sz w:val="24"/>
          <w:szCs w:val="24"/>
        </w:rPr>
        <w:t xml:space="preserve"> (</w:t>
      </w:r>
      <w:r w:rsidRPr="00D355CA">
        <w:rPr>
          <w:rFonts w:asciiTheme="majorBidi" w:hAnsiTheme="majorBidi" w:cs="B Nazanin"/>
          <w:sz w:val="24"/>
          <w:szCs w:val="24"/>
          <w:rtl/>
        </w:rPr>
        <w:t xml:space="preserve">جامعه آماری پژوهش را کلیه دانشجویان دختر مقطع کارشناسی دانشکده پرستاری و مامایی دانشگاه علوم پزشکی مشهد در سال تحصیلی </w:t>
      </w:r>
      <w:r w:rsidRPr="00D355CA">
        <w:rPr>
          <w:rFonts w:asciiTheme="majorBidi" w:hAnsiTheme="majorBidi" w:cs="B Nazanin"/>
          <w:sz w:val="24"/>
          <w:szCs w:val="24"/>
          <w:rtl/>
          <w:lang w:bidi="fa-IR"/>
        </w:rPr>
        <w:t>۱۴۰۳-۱۴۰۴</w:t>
      </w:r>
      <w:r w:rsidRPr="00D355CA">
        <w:rPr>
          <w:rFonts w:asciiTheme="majorBidi" w:hAnsiTheme="majorBidi" w:cs="B Nazanin"/>
          <w:sz w:val="24"/>
          <w:szCs w:val="24"/>
          <w:rtl/>
        </w:rPr>
        <w:t xml:space="preserve"> تشکیل دادند. با استفاده از روش نمونه‌گیری در دسترس و با در نظر گرفتن معیارهای ورود و خروج، تعداد </w:t>
      </w:r>
      <w:r w:rsidRPr="00D355CA">
        <w:rPr>
          <w:rFonts w:asciiTheme="majorBidi" w:hAnsiTheme="majorBidi" w:cs="B Nazanin"/>
          <w:sz w:val="24"/>
          <w:szCs w:val="24"/>
          <w:rtl/>
          <w:lang w:bidi="fa-IR"/>
        </w:rPr>
        <w:t>۸۰</w:t>
      </w:r>
      <w:r w:rsidRPr="00D355CA">
        <w:rPr>
          <w:rFonts w:asciiTheme="majorBidi" w:hAnsiTheme="majorBidi" w:cs="B Nazanin"/>
          <w:sz w:val="24"/>
          <w:szCs w:val="24"/>
          <w:rtl/>
        </w:rPr>
        <w:t xml:space="preserve"> نفر انتخاب شدند. معیارهای ورود شامل دانشجوی دختر، سن </w:t>
      </w:r>
      <w:r w:rsidRPr="00D355CA">
        <w:rPr>
          <w:rFonts w:asciiTheme="majorBidi" w:hAnsiTheme="majorBidi" w:cs="B Nazanin"/>
          <w:sz w:val="24"/>
          <w:szCs w:val="24"/>
          <w:rtl/>
          <w:lang w:bidi="fa-IR"/>
        </w:rPr>
        <w:t>۱۸</w:t>
      </w:r>
      <w:r w:rsidRPr="00D355CA">
        <w:rPr>
          <w:rFonts w:asciiTheme="majorBidi" w:hAnsiTheme="majorBidi" w:cs="B Nazanin"/>
          <w:sz w:val="24"/>
          <w:szCs w:val="24"/>
          <w:rtl/>
        </w:rPr>
        <w:t xml:space="preserve"> سال یا بالاتر، عدم سابقه تشخیص عفونت</w:t>
      </w:r>
      <w:r w:rsidRPr="00D355CA">
        <w:rPr>
          <w:rFonts w:asciiTheme="majorBidi" w:hAnsiTheme="majorBidi" w:cs="B Nazanin"/>
          <w:sz w:val="24"/>
          <w:szCs w:val="24"/>
        </w:rPr>
        <w:t xml:space="preserve"> HPV</w:t>
      </w:r>
      <w:r w:rsidRPr="00D355CA">
        <w:rPr>
          <w:rFonts w:asciiTheme="majorBidi" w:hAnsiTheme="majorBidi" w:cs="B Nazanin"/>
          <w:sz w:val="24"/>
          <w:szCs w:val="24"/>
          <w:rtl/>
        </w:rPr>
        <w:t>، عدم سابقه دریافت واکسن</w:t>
      </w:r>
      <w:r w:rsidRPr="00D355CA">
        <w:rPr>
          <w:rFonts w:asciiTheme="majorBidi" w:hAnsiTheme="majorBidi" w:cs="B Nazanin"/>
          <w:sz w:val="24"/>
          <w:szCs w:val="24"/>
        </w:rPr>
        <w:t xml:space="preserve"> HPV</w:t>
      </w:r>
      <w:r w:rsidRPr="00D355CA">
        <w:rPr>
          <w:rFonts w:asciiTheme="majorBidi" w:hAnsiTheme="majorBidi" w:cs="B Nazanin"/>
          <w:sz w:val="24"/>
          <w:szCs w:val="24"/>
          <w:rtl/>
        </w:rPr>
        <w:t>، تمایل به مشارکت و ارائه رضایت آگاهانه کتبی، و نداشتن سابقه شرکت در برنامه‌های آموزشی مشابه بود. معیارهای خروج نیز شامل انصراف از ادامه مطالعه، دریافت واکسن</w:t>
      </w:r>
      <w:r w:rsidRPr="00D355CA">
        <w:rPr>
          <w:rFonts w:asciiTheme="majorBidi" w:hAnsiTheme="majorBidi" w:cs="B Nazanin"/>
          <w:sz w:val="24"/>
          <w:szCs w:val="24"/>
        </w:rPr>
        <w:t xml:space="preserve"> HPV </w:t>
      </w:r>
      <w:r w:rsidRPr="00D355CA">
        <w:rPr>
          <w:rFonts w:asciiTheme="majorBidi" w:hAnsiTheme="majorBidi" w:cs="B Nazanin"/>
          <w:sz w:val="24"/>
          <w:szCs w:val="24"/>
          <w:rtl/>
        </w:rPr>
        <w:t xml:space="preserve">در طول دوره مداخله، یا ابتلا به بیماری‌های جدی جسمی یا روانی بود. پس از توضیح اهداف پژوهش و اخذ رضایت آگاهانه، شرکت‌کنندگان به‌طور تصادفی (با استفاده از جدول اعداد تصادفی) به دو گروه </w:t>
      </w:r>
      <w:r w:rsidRPr="00D355CA">
        <w:rPr>
          <w:rFonts w:asciiTheme="majorBidi" w:hAnsiTheme="majorBidi" w:cs="B Nazanin"/>
          <w:sz w:val="24"/>
          <w:szCs w:val="24"/>
          <w:rtl/>
          <w:lang w:bidi="fa-IR"/>
        </w:rPr>
        <w:t>۴۰</w:t>
      </w:r>
      <w:r w:rsidRPr="00D355CA">
        <w:rPr>
          <w:rFonts w:asciiTheme="majorBidi" w:hAnsiTheme="majorBidi" w:cs="B Nazanin"/>
          <w:sz w:val="24"/>
          <w:szCs w:val="24"/>
          <w:rtl/>
        </w:rPr>
        <w:t xml:space="preserve"> نفره مداخله و کنترل تقسیم شدند. در نهایت، به دلیل غیبت در جلسات یا انصراف، داده‌های مربوط به </w:t>
      </w:r>
      <w:r w:rsidRPr="00D355CA">
        <w:rPr>
          <w:rFonts w:asciiTheme="majorBidi" w:hAnsiTheme="majorBidi" w:cs="B Nazanin"/>
          <w:sz w:val="24"/>
          <w:szCs w:val="24"/>
          <w:rtl/>
          <w:lang w:bidi="fa-IR"/>
        </w:rPr>
        <w:t>۷۵</w:t>
      </w:r>
      <w:r w:rsidRPr="00D355CA">
        <w:rPr>
          <w:rFonts w:asciiTheme="majorBidi" w:hAnsiTheme="majorBidi" w:cs="B Nazanin"/>
          <w:sz w:val="24"/>
          <w:szCs w:val="24"/>
          <w:rtl/>
        </w:rPr>
        <w:t xml:space="preserve"> نفر (</w:t>
      </w:r>
      <w:r w:rsidRPr="00D355CA">
        <w:rPr>
          <w:rFonts w:asciiTheme="majorBidi" w:hAnsiTheme="majorBidi" w:cs="B Nazanin"/>
          <w:sz w:val="24"/>
          <w:szCs w:val="24"/>
          <w:rtl/>
          <w:lang w:bidi="fa-IR"/>
        </w:rPr>
        <w:t>۳۸</w:t>
      </w:r>
      <w:r w:rsidRPr="00D355CA">
        <w:rPr>
          <w:rFonts w:asciiTheme="majorBidi" w:hAnsiTheme="majorBidi" w:cs="B Nazanin"/>
          <w:sz w:val="24"/>
          <w:szCs w:val="24"/>
          <w:rtl/>
        </w:rPr>
        <w:t xml:space="preserve"> نفر در گروه مداخله و </w:t>
      </w:r>
      <w:r w:rsidRPr="00D355CA">
        <w:rPr>
          <w:rFonts w:asciiTheme="majorBidi" w:hAnsiTheme="majorBidi" w:cs="B Nazanin"/>
          <w:sz w:val="24"/>
          <w:szCs w:val="24"/>
          <w:rtl/>
          <w:lang w:bidi="fa-IR"/>
        </w:rPr>
        <w:t>۳۷</w:t>
      </w:r>
      <w:r w:rsidRPr="00D355CA">
        <w:rPr>
          <w:rFonts w:asciiTheme="majorBidi" w:hAnsiTheme="majorBidi" w:cs="B Nazanin"/>
          <w:sz w:val="24"/>
          <w:szCs w:val="24"/>
          <w:rtl/>
        </w:rPr>
        <w:t xml:space="preserve"> نفر </w:t>
      </w:r>
      <w:r w:rsidRPr="00D355CA">
        <w:rPr>
          <w:rFonts w:asciiTheme="majorBidi" w:hAnsiTheme="majorBidi" w:cs="B Nazanin"/>
          <w:sz w:val="24"/>
          <w:szCs w:val="24"/>
          <w:rtl/>
        </w:rPr>
        <w:lastRenderedPageBreak/>
        <w:t>در گروه کنترل) وارد تحلیل نهایی شد. برای سنجش متغیر وابسته (آگاهی) از پرسشنامه آگاهی و نگرش کازرانی و عابدی (</w:t>
      </w:r>
      <w:r w:rsidRPr="00D355CA">
        <w:rPr>
          <w:rFonts w:asciiTheme="majorBidi" w:hAnsiTheme="majorBidi" w:cs="B Nazanin"/>
          <w:sz w:val="24"/>
          <w:szCs w:val="24"/>
          <w:rtl/>
          <w:lang w:bidi="fa-IR"/>
        </w:rPr>
        <w:t xml:space="preserve">۲۰۱۹) </w:t>
      </w:r>
      <w:r w:rsidRPr="00D355CA">
        <w:rPr>
          <w:rFonts w:asciiTheme="majorBidi" w:hAnsiTheme="majorBidi" w:cs="B Nazanin"/>
          <w:sz w:val="24"/>
          <w:szCs w:val="24"/>
          <w:rtl/>
        </w:rPr>
        <w:t xml:space="preserve">استفاده شد. این پرسشنامه دارای </w:t>
      </w:r>
      <w:r w:rsidRPr="00D355CA">
        <w:rPr>
          <w:rFonts w:asciiTheme="majorBidi" w:hAnsiTheme="majorBidi" w:cs="B Nazanin"/>
          <w:sz w:val="24"/>
          <w:szCs w:val="24"/>
          <w:rtl/>
          <w:lang w:bidi="fa-IR"/>
        </w:rPr>
        <w:t>۳۶</w:t>
      </w:r>
      <w:r w:rsidRPr="00D355CA">
        <w:rPr>
          <w:rFonts w:asciiTheme="majorBidi" w:hAnsiTheme="majorBidi" w:cs="B Nazanin"/>
          <w:sz w:val="24"/>
          <w:szCs w:val="24"/>
          <w:rtl/>
        </w:rPr>
        <w:t xml:space="preserve"> سؤال در حیطه آگاهی است که مباحثی مانند معرفی ویروس</w:t>
      </w:r>
      <w:r w:rsidRPr="00D355CA">
        <w:rPr>
          <w:rFonts w:asciiTheme="majorBidi" w:hAnsiTheme="majorBidi" w:cs="B Nazanin"/>
          <w:sz w:val="24"/>
          <w:szCs w:val="24"/>
        </w:rPr>
        <w:t xml:space="preserve"> HPV</w:t>
      </w:r>
      <w:r w:rsidRPr="00D355CA">
        <w:rPr>
          <w:rFonts w:asciiTheme="majorBidi" w:hAnsiTheme="majorBidi" w:cs="B Nazanin"/>
          <w:sz w:val="24"/>
          <w:szCs w:val="24"/>
          <w:rtl/>
        </w:rPr>
        <w:t>، راه‌های انتقال، عوارض، گروه‌های پرخطر، روش‌های پیشگیری و واکسیناسیون را پوشش می‌دهد. هر سوال به صورت دوگزینه‌ای (صحیح=</w:t>
      </w:r>
      <w:r w:rsidRPr="00D355CA">
        <w:rPr>
          <w:rFonts w:asciiTheme="majorBidi" w:hAnsiTheme="majorBidi" w:cs="B Nazanin"/>
          <w:sz w:val="24"/>
          <w:szCs w:val="24"/>
          <w:rtl/>
          <w:lang w:bidi="fa-IR"/>
        </w:rPr>
        <w:t>۱</w:t>
      </w:r>
      <w:r w:rsidRPr="00D355CA">
        <w:rPr>
          <w:rFonts w:asciiTheme="majorBidi" w:hAnsiTheme="majorBidi" w:cs="B Nazanin"/>
          <w:sz w:val="24"/>
          <w:szCs w:val="24"/>
          <w:rtl/>
        </w:rPr>
        <w:t>، غلط/نمی‌دانم=</w:t>
      </w:r>
      <w:r w:rsidRPr="00D355CA">
        <w:rPr>
          <w:rFonts w:asciiTheme="majorBidi" w:hAnsiTheme="majorBidi" w:cs="B Nazanin"/>
          <w:sz w:val="24"/>
          <w:szCs w:val="24"/>
          <w:rtl/>
          <w:lang w:bidi="fa-IR"/>
        </w:rPr>
        <w:t xml:space="preserve">۰) </w:t>
      </w:r>
      <w:r w:rsidRPr="00D355CA">
        <w:rPr>
          <w:rFonts w:asciiTheme="majorBidi" w:hAnsiTheme="majorBidi" w:cs="B Nazanin"/>
          <w:sz w:val="24"/>
          <w:szCs w:val="24"/>
          <w:rtl/>
        </w:rPr>
        <w:t xml:space="preserve">نمره‌دهی می‌شود. نمره کل آگاهی بین </w:t>
      </w:r>
      <w:r w:rsidRPr="00D355CA">
        <w:rPr>
          <w:rFonts w:asciiTheme="majorBidi" w:hAnsiTheme="majorBidi" w:cs="B Nazanin"/>
          <w:sz w:val="24"/>
          <w:szCs w:val="24"/>
          <w:rtl/>
          <w:lang w:bidi="fa-IR"/>
        </w:rPr>
        <w:t>۰</w:t>
      </w:r>
      <w:r w:rsidRPr="00D355CA">
        <w:rPr>
          <w:rFonts w:asciiTheme="majorBidi" w:hAnsiTheme="majorBidi" w:cs="B Nazanin"/>
          <w:sz w:val="24"/>
          <w:szCs w:val="24"/>
          <w:rtl/>
        </w:rPr>
        <w:t xml:space="preserve"> تا </w:t>
      </w:r>
      <w:r w:rsidRPr="00D355CA">
        <w:rPr>
          <w:rFonts w:asciiTheme="majorBidi" w:hAnsiTheme="majorBidi" w:cs="B Nazanin"/>
          <w:sz w:val="24"/>
          <w:szCs w:val="24"/>
          <w:rtl/>
          <w:lang w:bidi="fa-IR"/>
        </w:rPr>
        <w:t>۳۶</w:t>
      </w:r>
      <w:r w:rsidRPr="00D355CA">
        <w:rPr>
          <w:rFonts w:asciiTheme="majorBidi" w:hAnsiTheme="majorBidi" w:cs="B Nazanin"/>
          <w:sz w:val="24"/>
          <w:szCs w:val="24"/>
          <w:rtl/>
        </w:rPr>
        <w:t xml:space="preserve"> متغیر است و نمره بالاتر نشان‌دهنده آگاهی بیشتر است. روایی محتوایی این پرسشنامه در مطالعات پیشین تأیید شده</w:t>
      </w:r>
      <w:r w:rsidRPr="00D355CA">
        <w:rPr>
          <w:rFonts w:asciiTheme="majorBidi" w:hAnsiTheme="majorBidi" w:cs="B Nazanin"/>
          <w:sz w:val="24"/>
          <w:szCs w:val="24"/>
        </w:rPr>
        <w:t xml:space="preserve"> CVI </w:t>
      </w:r>
      <w:r w:rsidRPr="00D355CA">
        <w:rPr>
          <w:rFonts w:asciiTheme="majorBidi" w:hAnsiTheme="majorBidi" w:cs="B Nazanin"/>
          <w:sz w:val="24"/>
          <w:szCs w:val="24"/>
          <w:rtl/>
        </w:rPr>
        <w:t>و</w:t>
      </w:r>
      <w:r w:rsidRPr="00D355CA">
        <w:rPr>
          <w:rFonts w:asciiTheme="majorBidi" w:hAnsiTheme="majorBidi" w:cs="B Nazanin"/>
          <w:sz w:val="24"/>
          <w:szCs w:val="24"/>
        </w:rPr>
        <w:t xml:space="preserve"> CVR </w:t>
      </w:r>
      <w:r w:rsidRPr="00D355CA">
        <w:rPr>
          <w:rFonts w:asciiTheme="majorBidi" w:hAnsiTheme="majorBidi" w:cs="B Nazanin"/>
          <w:sz w:val="24"/>
          <w:szCs w:val="24"/>
          <w:rtl/>
        </w:rPr>
        <w:t xml:space="preserve">بالای </w:t>
      </w:r>
      <w:r w:rsidRPr="00D355CA">
        <w:rPr>
          <w:rFonts w:asciiTheme="majorBidi" w:hAnsiTheme="majorBidi" w:cs="B Nazanin"/>
          <w:sz w:val="24"/>
          <w:szCs w:val="24"/>
          <w:rtl/>
          <w:lang w:bidi="fa-IR"/>
        </w:rPr>
        <w:t>۹۰%</w:t>
      </w:r>
      <w:r w:rsidRPr="00D355CA">
        <w:rPr>
          <w:rFonts w:asciiTheme="majorBidi" w:hAnsiTheme="majorBidi" w:cs="B Nazanin"/>
          <w:sz w:val="24"/>
          <w:szCs w:val="24"/>
        </w:rPr>
        <w:t xml:space="preserve"> </w:t>
      </w:r>
      <w:r w:rsidRPr="00D355CA">
        <w:rPr>
          <w:rFonts w:asciiTheme="majorBidi" w:hAnsiTheme="majorBidi" w:cs="B Nazanin"/>
          <w:sz w:val="24"/>
          <w:szCs w:val="24"/>
          <w:rtl/>
        </w:rPr>
        <w:t xml:space="preserve">و پایایی آن در این مطالعه با استفاده از آلفای کرونباخ </w:t>
      </w:r>
      <w:r w:rsidRPr="00D355CA">
        <w:rPr>
          <w:rFonts w:asciiTheme="majorBidi" w:hAnsiTheme="majorBidi" w:cs="B Nazanin"/>
          <w:sz w:val="24"/>
          <w:szCs w:val="24"/>
          <w:rtl/>
          <w:lang w:bidi="fa-IR"/>
        </w:rPr>
        <w:t>۰</w:t>
      </w:r>
      <w:r w:rsidRPr="00D355CA">
        <w:rPr>
          <w:rFonts w:ascii="Arial" w:hAnsi="Arial" w:cs="Arial" w:hint="cs"/>
          <w:sz w:val="24"/>
          <w:szCs w:val="24"/>
          <w:rtl/>
        </w:rPr>
        <w:t>٫</w:t>
      </w:r>
      <w:r w:rsidRPr="00D355CA">
        <w:rPr>
          <w:rFonts w:asciiTheme="majorBidi" w:hAnsiTheme="majorBidi" w:cs="B Nazanin"/>
          <w:sz w:val="24"/>
          <w:szCs w:val="24"/>
          <w:rtl/>
          <w:lang w:bidi="fa-IR"/>
        </w:rPr>
        <w:t>۸۲</w:t>
      </w:r>
      <w:r w:rsidRPr="00D355CA">
        <w:rPr>
          <w:rFonts w:asciiTheme="majorBidi" w:hAnsiTheme="majorBidi" w:cs="B Nazanin"/>
          <w:sz w:val="24"/>
          <w:szCs w:val="24"/>
          <w:rtl/>
        </w:rPr>
        <w:t xml:space="preserve"> به دست آمد. همچنین از یک پرسشنامه دموگرافیک برای جمع‌آوری اطلاعات پایه مانند سن، رشته تحصیلی، ترم، وضعیت اقتصادی و تحصیلات والدین استفاده شد. در مرحله پیش‌آزمون هر دو گروه مداخله و کنترل، پرسشنامه‌های دموگرافیک و آگاهی را تکمیل کردند. سپس گروه مداخله یک برنامه آموزشی ساختاریافته در شش جلسه </w:t>
      </w:r>
      <w:r w:rsidRPr="00D355CA">
        <w:rPr>
          <w:rFonts w:asciiTheme="majorBidi" w:hAnsiTheme="majorBidi" w:cs="B Nazanin"/>
          <w:sz w:val="24"/>
          <w:szCs w:val="24"/>
          <w:rtl/>
          <w:lang w:bidi="fa-IR"/>
        </w:rPr>
        <w:t>۴۵</w:t>
      </w:r>
      <w:r w:rsidRPr="00D355CA">
        <w:rPr>
          <w:rFonts w:asciiTheme="majorBidi" w:hAnsiTheme="majorBidi" w:cs="B Nazanin"/>
          <w:sz w:val="24"/>
          <w:szCs w:val="24"/>
          <w:rtl/>
        </w:rPr>
        <w:t xml:space="preserve"> دقیقه‌ای (هفته‌ای دو جلسه) دریافت کردند. محتوای هر جلسه به دو بخش تقسیم می‌شد: بخش سلامت معنوی (</w:t>
      </w:r>
      <w:r w:rsidRPr="00D355CA">
        <w:rPr>
          <w:rFonts w:asciiTheme="majorBidi" w:hAnsiTheme="majorBidi" w:cs="B Nazanin"/>
          <w:sz w:val="24"/>
          <w:szCs w:val="24"/>
          <w:rtl/>
          <w:lang w:bidi="fa-IR"/>
        </w:rPr>
        <w:t>۳۰</w:t>
      </w:r>
      <w:r w:rsidRPr="00D355CA">
        <w:rPr>
          <w:rFonts w:asciiTheme="majorBidi" w:hAnsiTheme="majorBidi" w:cs="B Nazanin"/>
          <w:sz w:val="24"/>
          <w:szCs w:val="24"/>
          <w:rtl/>
        </w:rPr>
        <w:t xml:space="preserve"> دقیقه) مبتنی بر کتاب "آموزش مهارت‌های معنوی برای مربیان" (دکتر جعفر ب</w:t>
      </w:r>
      <w:r w:rsidR="00636C04" w:rsidRPr="00D355CA">
        <w:rPr>
          <w:rFonts w:asciiTheme="majorBidi" w:hAnsiTheme="majorBidi" w:cs="B Nazanin"/>
          <w:sz w:val="24"/>
          <w:szCs w:val="24"/>
          <w:rtl/>
        </w:rPr>
        <w:t>واله</w:t>
      </w:r>
      <w:r w:rsidRPr="00D355CA">
        <w:rPr>
          <w:rFonts w:asciiTheme="majorBidi" w:hAnsiTheme="majorBidi" w:cs="B Nazanin"/>
          <w:sz w:val="24"/>
          <w:szCs w:val="24"/>
          <w:rtl/>
        </w:rPr>
        <w:t>ری)، و شامل مباحثی مانند خودآگاهی معنوی، حل مسئله با رویکرد معنوی، مهارت بخشش برای ترمیم روابط، و تمرین‌های توجه آگاهی با رویکرد معنوی بود؛ و بخش آموزش</w:t>
      </w:r>
      <w:r w:rsidRPr="00D355CA">
        <w:rPr>
          <w:rFonts w:asciiTheme="majorBidi" w:hAnsiTheme="majorBidi" w:cs="B Nazanin"/>
          <w:sz w:val="24"/>
          <w:szCs w:val="24"/>
        </w:rPr>
        <w:t xml:space="preserve"> HPV </w:t>
      </w:r>
      <w:r w:rsidRPr="00D355CA">
        <w:rPr>
          <w:rFonts w:asciiTheme="majorBidi" w:hAnsiTheme="majorBidi" w:cs="B Nazanin"/>
          <w:sz w:val="24"/>
          <w:szCs w:val="24"/>
          <w:rtl/>
        </w:rPr>
        <w:t>(</w:t>
      </w:r>
      <w:r w:rsidRPr="00D355CA">
        <w:rPr>
          <w:rFonts w:asciiTheme="majorBidi" w:hAnsiTheme="majorBidi" w:cs="B Nazanin"/>
          <w:sz w:val="24"/>
          <w:szCs w:val="24"/>
          <w:rtl/>
          <w:lang w:bidi="fa-IR"/>
        </w:rPr>
        <w:t>۱۵</w:t>
      </w:r>
      <w:r w:rsidRPr="00D355CA">
        <w:rPr>
          <w:rFonts w:asciiTheme="majorBidi" w:hAnsiTheme="majorBidi" w:cs="B Nazanin"/>
          <w:sz w:val="24"/>
          <w:szCs w:val="24"/>
          <w:rtl/>
        </w:rPr>
        <w:t xml:space="preserve"> دقیقه) شامل ارائه اطلاعات علمی در قالب پاورپوینت، بحث گروهی و پرسش و پاسخ در مورد ویروس</w:t>
      </w:r>
      <w:r w:rsidRPr="00D355CA">
        <w:rPr>
          <w:rFonts w:asciiTheme="majorBidi" w:hAnsiTheme="majorBidi" w:cs="B Nazanin"/>
          <w:sz w:val="24"/>
          <w:szCs w:val="24"/>
        </w:rPr>
        <w:t xml:space="preserve"> HPV</w:t>
      </w:r>
      <w:r w:rsidRPr="00D355CA">
        <w:rPr>
          <w:rFonts w:asciiTheme="majorBidi" w:hAnsiTheme="majorBidi" w:cs="B Nazanin"/>
          <w:sz w:val="24"/>
          <w:szCs w:val="24"/>
          <w:rtl/>
        </w:rPr>
        <w:t>، اپیدمیولوژی، راه‌های انتقال، عوارض، پیشگیری و به طور ویژه اهمیت، ایمنی و اثربخشی واکسیناسیون بود. گروه کنترل هیچ مداخله آموزشی خاصی از سوی پژوهشگران دریافت نکردند و تنها تحت آموزش‌های معمول دوره تحصیل خود قرار داشتند. برای رعایت اصول اخلاقی، بسته آموزشی در پایان پژوهش در اختیار آنان قرار گرفت. یک ماه پس از اتمام آخرین جلسه آموزشی برای گروه مداخله، هر دو گروه مجدداً پرسشنامه آگاهی را تکمیل کردند (پس‌آزمون). داده‌ها با استفاده از نرم‌افزار</w:t>
      </w:r>
      <w:r w:rsidRPr="00D355CA">
        <w:rPr>
          <w:rFonts w:asciiTheme="majorBidi" w:hAnsiTheme="majorBidi" w:cs="B Nazanin"/>
          <w:sz w:val="24"/>
          <w:szCs w:val="24"/>
        </w:rPr>
        <w:t xml:space="preserve"> SPSS </w:t>
      </w:r>
      <w:r w:rsidRPr="00D355CA">
        <w:rPr>
          <w:rFonts w:asciiTheme="majorBidi" w:hAnsiTheme="majorBidi" w:cs="B Nazanin"/>
          <w:sz w:val="24"/>
          <w:szCs w:val="24"/>
          <w:rtl/>
        </w:rPr>
        <w:t xml:space="preserve">نسخه </w:t>
      </w:r>
      <w:r w:rsidRPr="00D355CA">
        <w:rPr>
          <w:rFonts w:asciiTheme="majorBidi" w:hAnsiTheme="majorBidi" w:cs="B Nazanin"/>
          <w:sz w:val="24"/>
          <w:szCs w:val="24"/>
          <w:rtl/>
          <w:lang w:bidi="fa-IR"/>
        </w:rPr>
        <w:t>۲۶</w:t>
      </w:r>
      <w:r w:rsidRPr="00D355CA">
        <w:rPr>
          <w:rFonts w:asciiTheme="majorBidi" w:hAnsiTheme="majorBidi" w:cs="B Nazanin"/>
          <w:sz w:val="24"/>
          <w:szCs w:val="24"/>
          <w:rtl/>
        </w:rPr>
        <w:t xml:space="preserve"> تحلیل شدند. برای توصیف داده‌ها از شاخص‌های میانگین، انحراف معیار، فراوانی و درصد استفاده شد. برای بررسی نرمال بودن توزیع داده‌ها از آزمون‌های کولموگروف-اسمیرنوف و شاپیرو-ویلک استفاده گردید. با توجه به نرمال نبودن توزیع نمرات آگاهی، برای مقایسه بین دو گروه از آزمون ناپارامتریک من-ویتنی و برای مقایسه درون‌گروهی از آزمون ویلکاکسون استفاده شد. همچنین از آزمون خی‌دو برای بررسی همگنی دو گروه در متغیرهای کیفی دموگرافیک بهره گرفته شد. سطح معناداری در تمامی آزمون‌ها </w:t>
      </w:r>
      <w:r w:rsidRPr="00D355CA">
        <w:rPr>
          <w:rFonts w:asciiTheme="majorBidi" w:hAnsiTheme="majorBidi" w:cs="B Nazanin"/>
          <w:sz w:val="24"/>
          <w:szCs w:val="24"/>
          <w:rtl/>
          <w:lang w:bidi="fa-IR"/>
        </w:rPr>
        <w:t>۰</w:t>
      </w:r>
      <w:r w:rsidRPr="00D355CA">
        <w:rPr>
          <w:rFonts w:ascii="Arial" w:hAnsi="Arial" w:cs="Arial" w:hint="cs"/>
          <w:sz w:val="24"/>
          <w:szCs w:val="24"/>
          <w:rtl/>
        </w:rPr>
        <w:t>٫</w:t>
      </w:r>
      <w:r w:rsidRPr="00D355CA">
        <w:rPr>
          <w:rFonts w:asciiTheme="majorBidi" w:hAnsiTheme="majorBidi" w:cs="B Nazanin"/>
          <w:sz w:val="24"/>
          <w:szCs w:val="24"/>
          <w:rtl/>
          <w:lang w:bidi="fa-IR"/>
        </w:rPr>
        <w:t>۰۵</w:t>
      </w:r>
      <w:r w:rsidRPr="00D355CA">
        <w:rPr>
          <w:rFonts w:asciiTheme="majorBidi" w:hAnsiTheme="majorBidi" w:cs="B Nazanin"/>
          <w:sz w:val="24"/>
          <w:szCs w:val="24"/>
          <w:rtl/>
        </w:rPr>
        <w:t xml:space="preserve"> در نظر گرفته شد</w:t>
      </w:r>
      <w:r w:rsidRPr="00D355CA">
        <w:rPr>
          <w:rFonts w:asciiTheme="majorBidi" w:hAnsiTheme="majorBidi" w:cs="B Nazanin"/>
          <w:sz w:val="24"/>
          <w:szCs w:val="24"/>
        </w:rPr>
        <w:t>.</w:t>
      </w:r>
    </w:p>
    <w:p w14:paraId="250AF1E8" w14:textId="2F8EC776" w:rsidR="00BF7D61" w:rsidRPr="00D355CA" w:rsidRDefault="00BF7D61" w:rsidP="008E5C28">
      <w:pPr>
        <w:bidi/>
        <w:jc w:val="both"/>
        <w:rPr>
          <w:rFonts w:asciiTheme="majorBidi" w:hAnsiTheme="majorBidi" w:cs="B Nazanin"/>
          <w:b/>
          <w:bCs/>
          <w:sz w:val="24"/>
          <w:szCs w:val="24"/>
        </w:rPr>
      </w:pPr>
      <w:r w:rsidRPr="00D355CA">
        <w:rPr>
          <w:rFonts w:asciiTheme="majorBidi" w:hAnsiTheme="majorBidi" w:cs="B Nazanin"/>
          <w:b/>
          <w:bCs/>
          <w:sz w:val="24"/>
          <w:szCs w:val="24"/>
        </w:rPr>
        <w:t xml:space="preserve"> </w:t>
      </w:r>
      <w:r w:rsidR="008E5C28" w:rsidRPr="00D355CA">
        <w:rPr>
          <w:rFonts w:asciiTheme="majorBidi" w:hAnsiTheme="majorBidi" w:cs="B Nazanin"/>
          <w:b/>
          <w:bCs/>
          <w:sz w:val="24"/>
          <w:szCs w:val="24"/>
          <w:rtl/>
        </w:rPr>
        <w:t>یافته های پژوهش</w:t>
      </w:r>
    </w:p>
    <w:p w14:paraId="010EE736" w14:textId="55CFC803" w:rsidR="00BF7D61" w:rsidRPr="00D355CA" w:rsidRDefault="00BF7D61" w:rsidP="00CD4BA3">
      <w:pPr>
        <w:bidi/>
        <w:jc w:val="both"/>
        <w:rPr>
          <w:rFonts w:asciiTheme="majorBidi" w:hAnsiTheme="majorBidi" w:cs="B Nazanin"/>
          <w:sz w:val="24"/>
          <w:szCs w:val="24"/>
        </w:rPr>
      </w:pPr>
      <w:r w:rsidRPr="00D355CA">
        <w:rPr>
          <w:rFonts w:asciiTheme="majorBidi" w:hAnsiTheme="majorBidi" w:cs="B Nazanin"/>
          <w:sz w:val="24"/>
          <w:szCs w:val="24"/>
          <w:rtl/>
        </w:rPr>
        <w:t xml:space="preserve">در این مطالعه </w:t>
      </w:r>
      <w:r w:rsidRPr="00D355CA">
        <w:rPr>
          <w:rFonts w:asciiTheme="majorBidi" w:hAnsiTheme="majorBidi" w:cs="B Nazanin"/>
          <w:sz w:val="24"/>
          <w:szCs w:val="24"/>
          <w:rtl/>
          <w:lang w:bidi="fa-IR"/>
        </w:rPr>
        <w:t>۷۵</w:t>
      </w:r>
      <w:r w:rsidRPr="00D355CA">
        <w:rPr>
          <w:rFonts w:asciiTheme="majorBidi" w:hAnsiTheme="majorBidi" w:cs="B Nazanin"/>
          <w:sz w:val="24"/>
          <w:szCs w:val="24"/>
          <w:rtl/>
        </w:rPr>
        <w:t xml:space="preserve"> دانشجوی دختر مقطع کارشناسی شرکت داشتند که پس از فرآیند تصادفی‌سازی به دو گروه مداخله (</w:t>
      </w:r>
      <w:r w:rsidRPr="00D355CA">
        <w:rPr>
          <w:rFonts w:asciiTheme="majorBidi" w:hAnsiTheme="majorBidi" w:cs="B Nazanin"/>
          <w:sz w:val="24"/>
          <w:szCs w:val="24"/>
          <w:rtl/>
          <w:lang w:bidi="fa-IR"/>
        </w:rPr>
        <w:t>۳۸</w:t>
      </w:r>
      <w:r w:rsidRPr="00D355CA">
        <w:rPr>
          <w:rFonts w:asciiTheme="majorBidi" w:hAnsiTheme="majorBidi" w:cs="B Nazanin"/>
          <w:sz w:val="24"/>
          <w:szCs w:val="24"/>
          <w:rtl/>
        </w:rPr>
        <w:t xml:space="preserve"> نفر) و کنترل (</w:t>
      </w:r>
      <w:r w:rsidRPr="00D355CA">
        <w:rPr>
          <w:rFonts w:asciiTheme="majorBidi" w:hAnsiTheme="majorBidi" w:cs="B Nazanin"/>
          <w:sz w:val="24"/>
          <w:szCs w:val="24"/>
          <w:rtl/>
          <w:lang w:bidi="fa-IR"/>
        </w:rPr>
        <w:t>۳۷</w:t>
      </w:r>
      <w:r w:rsidRPr="00D355CA">
        <w:rPr>
          <w:rFonts w:asciiTheme="majorBidi" w:hAnsiTheme="majorBidi" w:cs="B Nazanin"/>
          <w:sz w:val="24"/>
          <w:szCs w:val="24"/>
          <w:rtl/>
        </w:rPr>
        <w:t xml:space="preserve"> نفر) تقسیم شدند. میانگین سنی شرکت‌کنندگان در گروه مداخله </w:t>
      </w:r>
      <w:r w:rsidRPr="00D355CA">
        <w:rPr>
          <w:rFonts w:asciiTheme="majorBidi" w:hAnsiTheme="majorBidi" w:cs="B Nazanin"/>
          <w:sz w:val="24"/>
          <w:szCs w:val="24"/>
          <w:rtl/>
          <w:lang w:bidi="fa-IR"/>
        </w:rPr>
        <w:t>۲۰.۲۶</w:t>
      </w:r>
      <w:r w:rsidRPr="00D355CA">
        <w:rPr>
          <w:rFonts w:asciiTheme="majorBidi" w:hAnsiTheme="majorBidi" w:cs="B Nazanin"/>
          <w:sz w:val="24"/>
          <w:szCs w:val="24"/>
          <w:rtl/>
        </w:rPr>
        <w:t xml:space="preserve"> سال (انحراف معیار: </w:t>
      </w:r>
      <w:r w:rsidRPr="00D355CA">
        <w:rPr>
          <w:rFonts w:asciiTheme="majorBidi" w:hAnsiTheme="majorBidi" w:cs="B Nazanin"/>
          <w:sz w:val="24"/>
          <w:szCs w:val="24"/>
          <w:rtl/>
          <w:lang w:bidi="fa-IR"/>
        </w:rPr>
        <w:t xml:space="preserve">۱.۴۲) </w:t>
      </w:r>
      <w:r w:rsidRPr="00D355CA">
        <w:rPr>
          <w:rFonts w:asciiTheme="majorBidi" w:hAnsiTheme="majorBidi" w:cs="B Nazanin"/>
          <w:sz w:val="24"/>
          <w:szCs w:val="24"/>
          <w:rtl/>
        </w:rPr>
        <w:t xml:space="preserve">و در گروه کنترل </w:t>
      </w:r>
      <w:r w:rsidRPr="00D355CA">
        <w:rPr>
          <w:rFonts w:asciiTheme="majorBidi" w:hAnsiTheme="majorBidi" w:cs="B Nazanin"/>
          <w:sz w:val="24"/>
          <w:szCs w:val="24"/>
          <w:rtl/>
          <w:lang w:bidi="fa-IR"/>
        </w:rPr>
        <w:t>۱۹.۶۷</w:t>
      </w:r>
      <w:r w:rsidRPr="00D355CA">
        <w:rPr>
          <w:rFonts w:asciiTheme="majorBidi" w:hAnsiTheme="majorBidi" w:cs="B Nazanin"/>
          <w:sz w:val="24"/>
          <w:szCs w:val="24"/>
          <w:rtl/>
        </w:rPr>
        <w:t xml:space="preserve"> سال (انحراف معیار: </w:t>
      </w:r>
      <w:r w:rsidRPr="00D355CA">
        <w:rPr>
          <w:rFonts w:asciiTheme="majorBidi" w:hAnsiTheme="majorBidi" w:cs="B Nazanin"/>
          <w:sz w:val="24"/>
          <w:szCs w:val="24"/>
          <w:rtl/>
          <w:lang w:bidi="fa-IR"/>
        </w:rPr>
        <w:t xml:space="preserve">۱.۲۰) </w:t>
      </w:r>
      <w:r w:rsidRPr="00D355CA">
        <w:rPr>
          <w:rFonts w:asciiTheme="majorBidi" w:hAnsiTheme="majorBidi" w:cs="B Nazanin"/>
          <w:sz w:val="24"/>
          <w:szCs w:val="24"/>
          <w:rtl/>
        </w:rPr>
        <w:t>بود. دو گروه از نظر متغیرهای دموگرافیک کلیدی مورد بررسی شامل رشته تحصیلی، ترم تحصیلی، تحصیلات والدین، شغل والدین، وضعیت اقتصادی، مصرف سیگار و الکل، سابقه خانوادگی واکسیناسیون و</w:t>
      </w:r>
      <w:r w:rsidRPr="00D355CA">
        <w:rPr>
          <w:rFonts w:asciiTheme="majorBidi" w:hAnsiTheme="majorBidi" w:cs="B Nazanin"/>
          <w:sz w:val="24"/>
          <w:szCs w:val="24"/>
        </w:rPr>
        <w:t xml:space="preserve"> HPV</w:t>
      </w:r>
      <w:r w:rsidRPr="00D355CA">
        <w:rPr>
          <w:rFonts w:asciiTheme="majorBidi" w:hAnsiTheme="majorBidi" w:cs="B Nazanin"/>
          <w:sz w:val="24"/>
          <w:szCs w:val="24"/>
          <w:rtl/>
        </w:rPr>
        <w:t>، ترتیب تولد و منبع دریافت اطلاعات</w:t>
      </w:r>
      <w:r w:rsidRPr="00D355CA">
        <w:rPr>
          <w:rFonts w:asciiTheme="majorBidi" w:hAnsiTheme="majorBidi" w:cs="B Nazanin"/>
          <w:sz w:val="24"/>
          <w:szCs w:val="24"/>
        </w:rPr>
        <w:t xml:space="preserve"> HPV </w:t>
      </w:r>
      <w:r w:rsidRPr="00D355CA">
        <w:rPr>
          <w:rFonts w:asciiTheme="majorBidi" w:hAnsiTheme="majorBidi" w:cs="B Nazanin"/>
          <w:sz w:val="24"/>
          <w:szCs w:val="24"/>
          <w:rtl/>
        </w:rPr>
        <w:t>همگن بودند</w:t>
      </w:r>
      <w:r w:rsidR="0025292A" w:rsidRPr="00D355CA">
        <w:rPr>
          <w:rFonts w:asciiTheme="majorBidi" w:hAnsiTheme="majorBidi" w:cs="B Nazanin"/>
          <w:sz w:val="24"/>
          <w:szCs w:val="24"/>
          <w:rtl/>
        </w:rPr>
        <w:t xml:space="preserve"> </w:t>
      </w:r>
      <w:r w:rsidR="0025292A" w:rsidRPr="00D355CA">
        <w:rPr>
          <w:rFonts w:asciiTheme="majorBidi" w:hAnsiTheme="majorBidi" w:cs="B Nazanin"/>
          <w:sz w:val="24"/>
          <w:szCs w:val="24"/>
          <w:rtl/>
          <w:lang w:bidi="fa-IR"/>
        </w:rPr>
        <w:t>(05/0 &gt;</w:t>
      </w:r>
      <w:r w:rsidR="0025292A" w:rsidRPr="00D355CA">
        <w:rPr>
          <w:rFonts w:asciiTheme="majorBidi" w:hAnsiTheme="majorBidi" w:cs="B Nazanin"/>
          <w:sz w:val="24"/>
          <w:szCs w:val="24"/>
          <w:lang w:bidi="fa-IR"/>
        </w:rPr>
        <w:t xml:space="preserve"> P</w:t>
      </w:r>
      <w:r w:rsidR="0025292A" w:rsidRPr="00D355CA">
        <w:rPr>
          <w:rFonts w:asciiTheme="majorBidi" w:hAnsiTheme="majorBidi" w:cs="B Nazanin"/>
          <w:sz w:val="24"/>
          <w:szCs w:val="24"/>
          <w:rtl/>
          <w:lang w:bidi="fa-IR"/>
        </w:rPr>
        <w:t xml:space="preserve">). </w:t>
      </w:r>
      <w:r w:rsidRPr="00D355CA">
        <w:rPr>
          <w:rFonts w:asciiTheme="majorBidi" w:hAnsiTheme="majorBidi" w:cs="B Nazanin"/>
          <w:sz w:val="24"/>
          <w:szCs w:val="24"/>
          <w:rtl/>
        </w:rPr>
        <w:t>تنها متغیر تحصیلات پدر بین دو گروه تفاوت آماری معناداری نشان داد</w:t>
      </w:r>
      <w:r w:rsidRPr="00D355CA">
        <w:rPr>
          <w:rFonts w:asciiTheme="majorBidi" w:hAnsiTheme="majorBidi" w:cs="B Nazanin"/>
          <w:sz w:val="24"/>
          <w:szCs w:val="24"/>
        </w:rPr>
        <w:t xml:space="preserve"> </w:t>
      </w:r>
      <w:r w:rsidR="0025292A" w:rsidRPr="00D355CA">
        <w:rPr>
          <w:rFonts w:asciiTheme="majorBidi" w:hAnsiTheme="majorBidi" w:cs="B Nazanin"/>
          <w:sz w:val="24"/>
          <w:szCs w:val="24"/>
          <w:rtl/>
        </w:rPr>
        <w:t xml:space="preserve">         </w:t>
      </w:r>
      <w:r w:rsidR="0025292A" w:rsidRPr="00D355CA">
        <w:rPr>
          <w:rFonts w:asciiTheme="majorBidi" w:hAnsiTheme="majorBidi" w:cs="B Nazanin"/>
          <w:sz w:val="24"/>
          <w:szCs w:val="24"/>
          <w:rtl/>
          <w:lang w:bidi="fa-IR"/>
        </w:rPr>
        <w:t>(035/0 =</w:t>
      </w:r>
      <w:r w:rsidR="0025292A" w:rsidRPr="00D355CA">
        <w:rPr>
          <w:rFonts w:asciiTheme="majorBidi" w:hAnsiTheme="majorBidi" w:cs="B Nazanin"/>
          <w:sz w:val="24"/>
          <w:szCs w:val="24"/>
          <w:lang w:bidi="fa-IR"/>
        </w:rPr>
        <w:t xml:space="preserve"> P</w:t>
      </w:r>
      <w:r w:rsidR="0025292A" w:rsidRPr="00D355CA">
        <w:rPr>
          <w:rFonts w:asciiTheme="majorBidi" w:hAnsiTheme="majorBidi" w:cs="B Nazanin"/>
          <w:sz w:val="24"/>
          <w:szCs w:val="24"/>
          <w:rtl/>
          <w:lang w:bidi="fa-IR"/>
        </w:rPr>
        <w:t>)</w:t>
      </w:r>
      <w:r w:rsidRPr="00D355CA">
        <w:rPr>
          <w:rFonts w:asciiTheme="majorBidi" w:hAnsiTheme="majorBidi" w:cs="B Nazanin"/>
          <w:sz w:val="24"/>
          <w:szCs w:val="24"/>
          <w:rtl/>
        </w:rPr>
        <w:t>، که با توجه به همگنی سایر متغیرهای مهم، تأثیر قابل توجهی بر روند تحلیل نداشت</w:t>
      </w:r>
      <w:r w:rsidRPr="00D355CA">
        <w:rPr>
          <w:rFonts w:asciiTheme="majorBidi" w:hAnsiTheme="majorBidi" w:cs="B Nazanin"/>
          <w:sz w:val="24"/>
          <w:szCs w:val="24"/>
        </w:rPr>
        <w:t>.</w:t>
      </w:r>
    </w:p>
    <w:p w14:paraId="3582EDF4" w14:textId="47BA6F28" w:rsidR="00BF7D61" w:rsidRPr="00D355CA" w:rsidRDefault="00BF7D61" w:rsidP="00CD4BA3">
      <w:pPr>
        <w:bidi/>
        <w:jc w:val="both"/>
        <w:rPr>
          <w:rFonts w:asciiTheme="majorBidi" w:hAnsiTheme="majorBidi" w:cs="B Nazanin"/>
          <w:sz w:val="24"/>
          <w:szCs w:val="24"/>
        </w:rPr>
      </w:pPr>
      <w:r w:rsidRPr="00D355CA">
        <w:rPr>
          <w:rFonts w:asciiTheme="majorBidi" w:hAnsiTheme="majorBidi" w:cs="B Nazanin"/>
          <w:sz w:val="24"/>
          <w:szCs w:val="24"/>
          <w:rtl/>
        </w:rPr>
        <w:t xml:space="preserve">تحلیل اولیه داده‌های آگاهی در مرحله پیش‌آزمون نشان داد که میانگین نمره آگاهی در گروه مداخله </w:t>
      </w:r>
      <w:r w:rsidRPr="00D355CA">
        <w:rPr>
          <w:rFonts w:asciiTheme="majorBidi" w:hAnsiTheme="majorBidi" w:cs="B Nazanin"/>
          <w:sz w:val="24"/>
          <w:szCs w:val="24"/>
          <w:rtl/>
          <w:lang w:bidi="fa-IR"/>
        </w:rPr>
        <w:t>۲۴.۸۴ (</w:t>
      </w:r>
      <w:r w:rsidRPr="00D355CA">
        <w:rPr>
          <w:rFonts w:asciiTheme="majorBidi" w:hAnsiTheme="majorBidi" w:cs="B Nazanin"/>
          <w:sz w:val="24"/>
          <w:szCs w:val="24"/>
          <w:rtl/>
        </w:rPr>
        <w:t xml:space="preserve">انحراف معیار: </w:t>
      </w:r>
      <w:r w:rsidRPr="00D355CA">
        <w:rPr>
          <w:rFonts w:asciiTheme="majorBidi" w:hAnsiTheme="majorBidi" w:cs="B Nazanin"/>
          <w:sz w:val="24"/>
          <w:szCs w:val="24"/>
          <w:rtl/>
          <w:lang w:bidi="fa-IR"/>
        </w:rPr>
        <w:t xml:space="preserve">۲.۸۱) </w:t>
      </w:r>
      <w:r w:rsidRPr="00D355CA">
        <w:rPr>
          <w:rFonts w:asciiTheme="majorBidi" w:hAnsiTheme="majorBidi" w:cs="B Nazanin"/>
          <w:sz w:val="24"/>
          <w:szCs w:val="24"/>
          <w:rtl/>
        </w:rPr>
        <w:t xml:space="preserve">و در گروه کنترل </w:t>
      </w:r>
      <w:r w:rsidRPr="00D355CA">
        <w:rPr>
          <w:rFonts w:asciiTheme="majorBidi" w:hAnsiTheme="majorBidi" w:cs="B Nazanin"/>
          <w:sz w:val="24"/>
          <w:szCs w:val="24"/>
          <w:rtl/>
          <w:lang w:bidi="fa-IR"/>
        </w:rPr>
        <w:t>۲۵.۳۵ (</w:t>
      </w:r>
      <w:r w:rsidRPr="00D355CA">
        <w:rPr>
          <w:rFonts w:asciiTheme="majorBidi" w:hAnsiTheme="majorBidi" w:cs="B Nazanin"/>
          <w:sz w:val="24"/>
          <w:szCs w:val="24"/>
          <w:rtl/>
        </w:rPr>
        <w:t xml:space="preserve">انحراف معیار: </w:t>
      </w:r>
      <w:r w:rsidRPr="00D355CA">
        <w:rPr>
          <w:rFonts w:asciiTheme="majorBidi" w:hAnsiTheme="majorBidi" w:cs="B Nazanin"/>
          <w:sz w:val="24"/>
          <w:szCs w:val="24"/>
          <w:rtl/>
          <w:lang w:bidi="fa-IR"/>
        </w:rPr>
        <w:t xml:space="preserve">۲.۹۸) </w:t>
      </w:r>
      <w:r w:rsidRPr="00D355CA">
        <w:rPr>
          <w:rFonts w:asciiTheme="majorBidi" w:hAnsiTheme="majorBidi" w:cs="B Nazanin"/>
          <w:sz w:val="24"/>
          <w:szCs w:val="24"/>
          <w:rtl/>
        </w:rPr>
        <w:t>بود. آزمون من-ویتنی عدم وجود تفاوت آماری معنادار بین دو گروه در ابتدای مطالعه را تأیید کرد</w:t>
      </w:r>
      <w:r w:rsidRPr="00D355CA">
        <w:rPr>
          <w:rFonts w:asciiTheme="majorBidi" w:hAnsiTheme="majorBidi" w:cs="B Nazanin"/>
          <w:sz w:val="24"/>
          <w:szCs w:val="24"/>
        </w:rPr>
        <w:t xml:space="preserve"> </w:t>
      </w:r>
      <w:r w:rsidR="004A6970" w:rsidRPr="00D355CA">
        <w:rPr>
          <w:rFonts w:asciiTheme="majorBidi" w:hAnsiTheme="majorBidi" w:cs="B Nazanin"/>
          <w:sz w:val="24"/>
          <w:szCs w:val="24"/>
          <w:rtl/>
          <w:lang w:bidi="fa-IR"/>
        </w:rPr>
        <w:t>(</w:t>
      </w:r>
      <w:r w:rsidR="004A6970" w:rsidRPr="00D355CA">
        <w:rPr>
          <w:rFonts w:asciiTheme="majorBidi" w:hAnsiTheme="majorBidi" w:cs="B Nazanin"/>
          <w:sz w:val="24"/>
          <w:szCs w:val="24"/>
          <w:rtl/>
          <w:lang w:bidi="fa-IR"/>
        </w:rPr>
        <w:t>471</w:t>
      </w:r>
      <w:r w:rsidR="004A6970" w:rsidRPr="00D355CA">
        <w:rPr>
          <w:rFonts w:asciiTheme="majorBidi" w:hAnsiTheme="majorBidi" w:cs="B Nazanin"/>
          <w:sz w:val="24"/>
          <w:szCs w:val="24"/>
          <w:rtl/>
          <w:lang w:bidi="fa-IR"/>
        </w:rPr>
        <w:t>/0 &gt;</w:t>
      </w:r>
      <w:r w:rsidR="004A6970" w:rsidRPr="00D355CA">
        <w:rPr>
          <w:rFonts w:asciiTheme="majorBidi" w:hAnsiTheme="majorBidi" w:cs="B Nazanin"/>
          <w:sz w:val="24"/>
          <w:szCs w:val="24"/>
          <w:lang w:bidi="fa-IR"/>
        </w:rPr>
        <w:t xml:space="preserve"> P</w:t>
      </w:r>
      <w:r w:rsidR="004A6970" w:rsidRPr="00D355CA">
        <w:rPr>
          <w:rFonts w:asciiTheme="majorBidi" w:hAnsiTheme="majorBidi" w:cs="B Nazanin"/>
          <w:sz w:val="24"/>
          <w:szCs w:val="24"/>
          <w:rtl/>
          <w:lang w:bidi="fa-IR"/>
        </w:rPr>
        <w:t>)</w:t>
      </w:r>
      <w:r w:rsidRPr="00D355CA">
        <w:rPr>
          <w:rFonts w:asciiTheme="majorBidi" w:hAnsiTheme="majorBidi" w:cs="B Nazanin"/>
          <w:sz w:val="24"/>
          <w:szCs w:val="24"/>
        </w:rPr>
        <w:t xml:space="preserve"> </w:t>
      </w:r>
      <w:r w:rsidRPr="00D355CA">
        <w:rPr>
          <w:rFonts w:asciiTheme="majorBidi" w:hAnsiTheme="majorBidi" w:cs="B Nazanin"/>
          <w:sz w:val="24"/>
          <w:szCs w:val="24"/>
          <w:rtl/>
        </w:rPr>
        <w:t>این یافته همگنی پایه دو گروه را در متغیر وابسته اصلی پژوهش نشان می‌دهد و امکان مقایسه معتبر پس از مداخله را فراهم می‌سازد</w:t>
      </w:r>
      <w:r w:rsidRPr="00D355CA">
        <w:rPr>
          <w:rFonts w:asciiTheme="majorBidi" w:hAnsiTheme="majorBidi" w:cs="B Nazanin"/>
          <w:sz w:val="24"/>
          <w:szCs w:val="24"/>
        </w:rPr>
        <w:t>.</w:t>
      </w:r>
    </w:p>
    <w:p w14:paraId="510B4D76" w14:textId="4DCC7B2F" w:rsidR="00BF7D61" w:rsidRPr="00D355CA" w:rsidRDefault="00BF7D61" w:rsidP="00CD4BA3">
      <w:pPr>
        <w:bidi/>
        <w:jc w:val="both"/>
        <w:rPr>
          <w:rFonts w:asciiTheme="majorBidi" w:hAnsiTheme="majorBidi" w:cs="B Nazanin"/>
          <w:sz w:val="24"/>
          <w:szCs w:val="24"/>
        </w:rPr>
      </w:pPr>
      <w:r w:rsidRPr="00D355CA">
        <w:rPr>
          <w:rFonts w:asciiTheme="majorBidi" w:hAnsiTheme="majorBidi" w:cs="B Nazanin"/>
          <w:sz w:val="24"/>
          <w:szCs w:val="24"/>
          <w:rtl/>
        </w:rPr>
        <w:lastRenderedPageBreak/>
        <w:t xml:space="preserve">پس از اجرای مداخله آموزشی تلفیقی و گذشت یک ماه، میانگین نمره آگاهی در گروه مداخله به </w:t>
      </w:r>
      <w:r w:rsidRPr="00D355CA">
        <w:rPr>
          <w:rFonts w:asciiTheme="majorBidi" w:hAnsiTheme="majorBidi" w:cs="B Nazanin"/>
          <w:sz w:val="24"/>
          <w:szCs w:val="24"/>
          <w:rtl/>
          <w:lang w:bidi="fa-IR"/>
        </w:rPr>
        <w:t>۳۱.۱۱ (</w:t>
      </w:r>
      <w:r w:rsidRPr="00D355CA">
        <w:rPr>
          <w:rFonts w:asciiTheme="majorBidi" w:hAnsiTheme="majorBidi" w:cs="B Nazanin"/>
          <w:sz w:val="24"/>
          <w:szCs w:val="24"/>
          <w:rtl/>
        </w:rPr>
        <w:t xml:space="preserve">انحراف معیار: </w:t>
      </w:r>
      <w:r w:rsidRPr="00D355CA">
        <w:rPr>
          <w:rFonts w:asciiTheme="majorBidi" w:hAnsiTheme="majorBidi" w:cs="B Nazanin"/>
          <w:sz w:val="24"/>
          <w:szCs w:val="24"/>
          <w:rtl/>
          <w:lang w:bidi="fa-IR"/>
        </w:rPr>
        <w:t xml:space="preserve">۳.۱۲) </w:t>
      </w:r>
      <w:r w:rsidRPr="00D355CA">
        <w:rPr>
          <w:rFonts w:asciiTheme="majorBidi" w:hAnsiTheme="majorBidi" w:cs="B Nazanin"/>
          <w:sz w:val="24"/>
          <w:szCs w:val="24"/>
          <w:rtl/>
        </w:rPr>
        <w:t xml:space="preserve">افزایش یافت. در مقابل، در گروه کنترل این میانگین با تغییر کمی به </w:t>
      </w:r>
      <w:r w:rsidRPr="00D355CA">
        <w:rPr>
          <w:rFonts w:asciiTheme="majorBidi" w:hAnsiTheme="majorBidi" w:cs="B Nazanin"/>
          <w:sz w:val="24"/>
          <w:szCs w:val="24"/>
          <w:rtl/>
          <w:lang w:bidi="fa-IR"/>
        </w:rPr>
        <w:t>۲۵.۸۱ (</w:t>
      </w:r>
      <w:r w:rsidRPr="00D355CA">
        <w:rPr>
          <w:rFonts w:asciiTheme="majorBidi" w:hAnsiTheme="majorBidi" w:cs="B Nazanin"/>
          <w:sz w:val="24"/>
          <w:szCs w:val="24"/>
          <w:rtl/>
        </w:rPr>
        <w:t xml:space="preserve">انحراف معیار: </w:t>
      </w:r>
      <w:r w:rsidRPr="00D355CA">
        <w:rPr>
          <w:rFonts w:asciiTheme="majorBidi" w:hAnsiTheme="majorBidi" w:cs="B Nazanin"/>
          <w:sz w:val="24"/>
          <w:szCs w:val="24"/>
          <w:rtl/>
          <w:lang w:bidi="fa-IR"/>
        </w:rPr>
        <w:t xml:space="preserve">۳.۰۸) </w:t>
      </w:r>
      <w:r w:rsidRPr="00D355CA">
        <w:rPr>
          <w:rFonts w:asciiTheme="majorBidi" w:hAnsiTheme="majorBidi" w:cs="B Nazanin"/>
          <w:sz w:val="24"/>
          <w:szCs w:val="24"/>
          <w:rtl/>
        </w:rPr>
        <w:t>رسید. مقایسه بین گروهی در مرحله پس‌آزمون با استفاده از آزمون من-ویتنی نشان دهنده تفاوت آماری بسیار معنادار بین نمرات آگاهی دو گروه بود</w:t>
      </w:r>
      <w:r w:rsidR="00D86C9B" w:rsidRPr="00D355CA">
        <w:rPr>
          <w:rFonts w:asciiTheme="majorBidi" w:hAnsiTheme="majorBidi" w:cs="B Nazanin"/>
          <w:sz w:val="24"/>
          <w:szCs w:val="24"/>
          <w:rtl/>
        </w:rPr>
        <w:t xml:space="preserve">            </w:t>
      </w:r>
      <w:r w:rsidR="00D86C9B" w:rsidRPr="00D355CA">
        <w:rPr>
          <w:rFonts w:asciiTheme="majorBidi" w:hAnsiTheme="majorBidi" w:cs="B Nazanin"/>
          <w:sz w:val="24"/>
          <w:szCs w:val="24"/>
          <w:rtl/>
          <w:lang w:bidi="fa-IR"/>
        </w:rPr>
        <w:t>(001/0 &gt;</w:t>
      </w:r>
      <w:r w:rsidR="00D86C9B" w:rsidRPr="00D355CA">
        <w:rPr>
          <w:rFonts w:asciiTheme="majorBidi" w:hAnsiTheme="majorBidi" w:cs="B Nazanin"/>
          <w:sz w:val="24"/>
          <w:szCs w:val="24"/>
          <w:lang w:bidi="fa-IR"/>
        </w:rPr>
        <w:t xml:space="preserve"> P</w:t>
      </w:r>
      <w:r w:rsidR="00D86C9B" w:rsidRPr="00D355CA">
        <w:rPr>
          <w:rFonts w:asciiTheme="majorBidi" w:hAnsiTheme="majorBidi" w:cs="B Nazanin"/>
          <w:sz w:val="24"/>
          <w:szCs w:val="24"/>
          <w:rtl/>
          <w:lang w:bidi="fa-IR"/>
        </w:rPr>
        <w:t>).</w:t>
      </w:r>
      <w:r w:rsidRPr="00D355CA">
        <w:rPr>
          <w:rFonts w:asciiTheme="majorBidi" w:hAnsiTheme="majorBidi" w:cs="B Nazanin"/>
          <w:sz w:val="24"/>
          <w:szCs w:val="24"/>
        </w:rPr>
        <w:t xml:space="preserve"> </w:t>
      </w:r>
      <w:r w:rsidRPr="00D355CA">
        <w:rPr>
          <w:rFonts w:asciiTheme="majorBidi" w:hAnsiTheme="majorBidi" w:cs="B Nazanin"/>
          <w:sz w:val="24"/>
          <w:szCs w:val="24"/>
          <w:rtl/>
        </w:rPr>
        <w:t>این نتیجه حاکی از اثربخشی مداخله آموزشی در ایجاد تغییر مطلوب در گروه مداخله نسبت به گروه کنترل است</w:t>
      </w:r>
      <w:r w:rsidRPr="00D355CA">
        <w:rPr>
          <w:rFonts w:asciiTheme="majorBidi" w:hAnsiTheme="majorBidi" w:cs="B Nazanin"/>
          <w:sz w:val="24"/>
          <w:szCs w:val="24"/>
        </w:rPr>
        <w:t>.</w:t>
      </w:r>
    </w:p>
    <w:p w14:paraId="6A27CE6C" w14:textId="54367742" w:rsidR="00BF7D61" w:rsidRPr="00D355CA" w:rsidRDefault="00BF7D61" w:rsidP="00CD4BA3">
      <w:pPr>
        <w:bidi/>
        <w:jc w:val="both"/>
        <w:rPr>
          <w:rFonts w:asciiTheme="majorBidi" w:hAnsiTheme="majorBidi" w:cs="B Nazanin"/>
          <w:sz w:val="24"/>
          <w:szCs w:val="24"/>
          <w:rtl/>
        </w:rPr>
      </w:pPr>
      <w:r w:rsidRPr="00D355CA">
        <w:rPr>
          <w:rFonts w:asciiTheme="majorBidi" w:hAnsiTheme="majorBidi" w:cs="B Nazanin"/>
          <w:sz w:val="24"/>
          <w:szCs w:val="24"/>
          <w:rtl/>
        </w:rPr>
        <w:t>برای بررسی تغییرات درون‌گروهی، از آزمون ویلکاکسون استفاده شد. در گروه مداخله، افزایش نمره آگاهی از پیش‌آزمون به پس‌آزمون از نظر آماری کاملاً معنادار بود</w:t>
      </w:r>
      <w:r w:rsidRPr="00D355CA">
        <w:rPr>
          <w:rFonts w:asciiTheme="majorBidi" w:hAnsiTheme="majorBidi" w:cs="B Nazanin"/>
          <w:sz w:val="24"/>
          <w:szCs w:val="24"/>
        </w:rPr>
        <w:t xml:space="preserve"> </w:t>
      </w:r>
      <w:r w:rsidR="00D86C9B" w:rsidRPr="00D355CA">
        <w:rPr>
          <w:rFonts w:asciiTheme="majorBidi" w:hAnsiTheme="majorBidi" w:cs="B Nazanin"/>
          <w:sz w:val="24"/>
          <w:szCs w:val="24"/>
          <w:rtl/>
        </w:rPr>
        <w:t xml:space="preserve"> </w:t>
      </w:r>
      <w:r w:rsidR="00D86C9B" w:rsidRPr="00D355CA">
        <w:rPr>
          <w:rFonts w:asciiTheme="majorBidi" w:hAnsiTheme="majorBidi" w:cs="B Nazanin"/>
          <w:sz w:val="24"/>
          <w:szCs w:val="24"/>
          <w:rtl/>
          <w:lang w:bidi="fa-IR"/>
        </w:rPr>
        <w:t>(001/0 &gt;</w:t>
      </w:r>
      <w:r w:rsidR="00D86C9B" w:rsidRPr="00D355CA">
        <w:rPr>
          <w:rFonts w:asciiTheme="majorBidi" w:hAnsiTheme="majorBidi" w:cs="B Nazanin"/>
          <w:sz w:val="24"/>
          <w:szCs w:val="24"/>
          <w:lang w:bidi="fa-IR"/>
        </w:rPr>
        <w:t xml:space="preserve"> P</w:t>
      </w:r>
      <w:r w:rsidR="00D86C9B" w:rsidRPr="00D355CA">
        <w:rPr>
          <w:rFonts w:asciiTheme="majorBidi" w:hAnsiTheme="majorBidi" w:cs="B Nazanin"/>
          <w:sz w:val="24"/>
          <w:szCs w:val="24"/>
          <w:rtl/>
          <w:lang w:bidi="fa-IR"/>
        </w:rPr>
        <w:t xml:space="preserve">) </w:t>
      </w:r>
      <w:r w:rsidRPr="00D355CA">
        <w:rPr>
          <w:rFonts w:asciiTheme="majorBidi" w:hAnsiTheme="majorBidi" w:cs="B Nazanin"/>
          <w:sz w:val="24"/>
          <w:szCs w:val="24"/>
          <w:rtl/>
        </w:rPr>
        <w:t>این در حالی است که در گروه کنترل، تغییر ایجاد شده در نمره آگاهی فاقد معناداری آماری بود</w:t>
      </w:r>
      <w:r w:rsidRPr="00D355CA">
        <w:rPr>
          <w:rFonts w:asciiTheme="majorBidi" w:hAnsiTheme="majorBidi" w:cs="B Nazanin"/>
          <w:sz w:val="24"/>
          <w:szCs w:val="24"/>
        </w:rPr>
        <w:t xml:space="preserve"> </w:t>
      </w:r>
      <w:r w:rsidR="00D86C9B" w:rsidRPr="00D355CA">
        <w:rPr>
          <w:rFonts w:asciiTheme="majorBidi" w:hAnsiTheme="majorBidi" w:cs="B Nazanin"/>
          <w:sz w:val="24"/>
          <w:szCs w:val="24"/>
          <w:rtl/>
          <w:lang w:bidi="fa-IR"/>
        </w:rPr>
        <w:t>(151/0 =</w:t>
      </w:r>
      <w:r w:rsidR="00D86C9B" w:rsidRPr="00D355CA">
        <w:rPr>
          <w:rFonts w:asciiTheme="majorBidi" w:hAnsiTheme="majorBidi" w:cs="B Nazanin"/>
          <w:sz w:val="24"/>
          <w:szCs w:val="24"/>
          <w:lang w:bidi="fa-IR"/>
        </w:rPr>
        <w:t xml:space="preserve"> P</w:t>
      </w:r>
      <w:r w:rsidR="00D86C9B" w:rsidRPr="00D355CA">
        <w:rPr>
          <w:rFonts w:asciiTheme="majorBidi" w:hAnsiTheme="majorBidi" w:cs="B Nazanin"/>
          <w:sz w:val="24"/>
          <w:szCs w:val="24"/>
          <w:rtl/>
          <w:lang w:bidi="fa-IR"/>
        </w:rPr>
        <w:t>)</w:t>
      </w:r>
      <w:r w:rsidRPr="00D355CA">
        <w:rPr>
          <w:rFonts w:asciiTheme="majorBidi" w:hAnsiTheme="majorBidi" w:cs="B Nazanin"/>
          <w:sz w:val="24"/>
          <w:szCs w:val="24"/>
        </w:rPr>
        <w:t xml:space="preserve"> </w:t>
      </w:r>
      <w:r w:rsidRPr="00D355CA">
        <w:rPr>
          <w:rFonts w:asciiTheme="majorBidi" w:hAnsiTheme="majorBidi" w:cs="B Nazanin"/>
          <w:sz w:val="24"/>
          <w:szCs w:val="24"/>
          <w:rtl/>
        </w:rPr>
        <w:t>این یافته مجدداً بر تأثیر خاص مداخله طراحی‌شده تأکید دارد</w:t>
      </w:r>
      <w:r w:rsidR="00A0693D" w:rsidRPr="00D355CA">
        <w:rPr>
          <w:rFonts w:asciiTheme="majorBidi" w:hAnsiTheme="majorBidi" w:cs="B Nazanin"/>
          <w:sz w:val="24"/>
          <w:szCs w:val="24"/>
          <w:rtl/>
        </w:rPr>
        <w:t xml:space="preserve"> (جدول شماره یک).</w:t>
      </w:r>
    </w:p>
    <w:p w14:paraId="1390F2E8" w14:textId="3AC35DC9" w:rsidR="00A0693D" w:rsidRPr="00D355CA" w:rsidRDefault="00A0693D" w:rsidP="00A0693D">
      <w:pPr>
        <w:bidi/>
        <w:jc w:val="both"/>
        <w:rPr>
          <w:rFonts w:asciiTheme="majorBidi" w:hAnsiTheme="majorBidi" w:cs="B Nazanin"/>
          <w:sz w:val="24"/>
          <w:szCs w:val="24"/>
          <w:rtl/>
        </w:rPr>
      </w:pPr>
    </w:p>
    <w:p w14:paraId="1D929BFE" w14:textId="253A42A4" w:rsidR="00A0693D" w:rsidRPr="00D355CA" w:rsidRDefault="00A0693D" w:rsidP="00A0693D">
      <w:pPr>
        <w:pStyle w:val="a"/>
        <w:rPr>
          <w:rFonts w:asciiTheme="majorBidi" w:hAnsiTheme="majorBidi"/>
        </w:rPr>
      </w:pPr>
      <w:bookmarkStart w:id="0" w:name="_Toc204017724"/>
      <w:bookmarkStart w:id="1" w:name="_Hlk200828549"/>
      <w:r w:rsidRPr="00D355CA">
        <w:rPr>
          <w:rFonts w:asciiTheme="majorBidi" w:hAnsiTheme="majorBidi"/>
          <w:rtl/>
        </w:rPr>
        <w:t>جدول شماره یک: مقایسه میانگین</w:t>
      </w:r>
      <w:r w:rsidRPr="00D355CA">
        <w:rPr>
          <w:rFonts w:asciiTheme="majorBidi" w:hAnsiTheme="majorBidi"/>
        </w:rPr>
        <w:t xml:space="preserve"> </w:t>
      </w:r>
      <w:r w:rsidRPr="00D355CA">
        <w:rPr>
          <w:rFonts w:asciiTheme="majorBidi" w:hAnsiTheme="majorBidi"/>
          <w:rtl/>
        </w:rPr>
        <w:t xml:space="preserve"> وانحراف معیارنمرات آگاهی در واحدهای پژهش، قبل وبعداز مداخله</w:t>
      </w:r>
      <w:bookmarkEnd w:id="0"/>
    </w:p>
    <w:tbl>
      <w:tblPr>
        <w:tblStyle w:val="TableGrid35"/>
        <w:bidiVisual/>
        <w:tblW w:w="0" w:type="auto"/>
        <w:jc w:val="center"/>
        <w:tblLook w:val="04A0" w:firstRow="1" w:lastRow="0" w:firstColumn="1" w:lastColumn="0" w:noHBand="0" w:noVBand="1"/>
      </w:tblPr>
      <w:tblGrid>
        <w:gridCol w:w="643"/>
        <w:gridCol w:w="1841"/>
        <w:gridCol w:w="1843"/>
        <w:gridCol w:w="1843"/>
        <w:gridCol w:w="2404"/>
      </w:tblGrid>
      <w:tr w:rsidR="00A0693D" w:rsidRPr="00D355CA" w14:paraId="0ED36C02" w14:textId="77777777" w:rsidTr="00A0693D">
        <w:trPr>
          <w:trHeight w:val="100"/>
          <w:jc w:val="center"/>
        </w:trPr>
        <w:tc>
          <w:tcPr>
            <w:tcW w:w="2484" w:type="dxa"/>
            <w:gridSpan w:val="2"/>
            <w:vMerge w:val="restart"/>
            <w:tcBorders>
              <w:top w:val="single" w:sz="12" w:space="0" w:color="auto"/>
              <w:left w:val="single" w:sz="12" w:space="0" w:color="auto"/>
            </w:tcBorders>
            <w:vAlign w:val="center"/>
          </w:tcPr>
          <w:bookmarkEnd w:id="1"/>
          <w:p w14:paraId="1C7719A5" w14:textId="77777777" w:rsidR="00A0693D" w:rsidRPr="00D355CA" w:rsidRDefault="00A0693D" w:rsidP="00CE15FA">
            <w:pPr>
              <w:jc w:val="center"/>
              <w:rPr>
                <w:rFonts w:asciiTheme="majorBidi" w:eastAsia="Calibri" w:hAnsiTheme="majorBidi" w:cs="B Nazanin"/>
                <w:b/>
                <w:bCs/>
                <w:sz w:val="20"/>
                <w:szCs w:val="20"/>
                <w:rtl/>
                <w:lang w:bidi="fa-IR"/>
              </w:rPr>
            </w:pPr>
            <w:r w:rsidRPr="00D355CA">
              <w:rPr>
                <w:rFonts w:asciiTheme="majorBidi" w:eastAsia="Calibri" w:hAnsiTheme="majorBidi" w:cs="B Nazanin"/>
                <w:b/>
                <w:bCs/>
                <w:sz w:val="20"/>
                <w:szCs w:val="20"/>
                <w:rtl/>
                <w:lang w:bidi="fa-IR"/>
              </w:rPr>
              <w:t>نام متغیر</w:t>
            </w:r>
          </w:p>
        </w:tc>
        <w:tc>
          <w:tcPr>
            <w:tcW w:w="3686" w:type="dxa"/>
            <w:gridSpan w:val="2"/>
            <w:tcBorders>
              <w:top w:val="single" w:sz="12" w:space="0" w:color="auto"/>
            </w:tcBorders>
            <w:vAlign w:val="center"/>
          </w:tcPr>
          <w:p w14:paraId="201F9587" w14:textId="77777777" w:rsidR="00A0693D" w:rsidRPr="00D355CA" w:rsidRDefault="00A0693D" w:rsidP="00CE15FA">
            <w:pPr>
              <w:jc w:val="center"/>
              <w:rPr>
                <w:rFonts w:asciiTheme="majorBidi" w:eastAsia="Calibri" w:hAnsiTheme="majorBidi" w:cs="B Nazanin"/>
                <w:b/>
                <w:bCs/>
                <w:sz w:val="20"/>
                <w:szCs w:val="20"/>
                <w:lang w:bidi="fa-IR"/>
              </w:rPr>
            </w:pPr>
            <w:r w:rsidRPr="00D355CA">
              <w:rPr>
                <w:rFonts w:asciiTheme="majorBidi" w:eastAsia="Calibri" w:hAnsiTheme="majorBidi" w:cs="B Nazanin"/>
                <w:b/>
                <w:bCs/>
                <w:sz w:val="20"/>
                <w:szCs w:val="20"/>
                <w:rtl/>
                <w:lang w:bidi="fa-IR"/>
              </w:rPr>
              <w:t>گروه</w:t>
            </w:r>
          </w:p>
        </w:tc>
        <w:tc>
          <w:tcPr>
            <w:tcW w:w="2404" w:type="dxa"/>
            <w:vMerge w:val="restart"/>
            <w:tcBorders>
              <w:top w:val="single" w:sz="12" w:space="0" w:color="auto"/>
              <w:right w:val="single" w:sz="12" w:space="0" w:color="auto"/>
            </w:tcBorders>
            <w:vAlign w:val="center"/>
          </w:tcPr>
          <w:p w14:paraId="76B81390" w14:textId="77777777" w:rsidR="00A0693D" w:rsidRPr="00D355CA" w:rsidRDefault="00A0693D" w:rsidP="00CE15FA">
            <w:pPr>
              <w:jc w:val="center"/>
              <w:rPr>
                <w:rFonts w:asciiTheme="majorBidi" w:eastAsia="Calibri" w:hAnsiTheme="majorBidi" w:cs="B Nazanin"/>
                <w:b/>
                <w:bCs/>
                <w:sz w:val="20"/>
                <w:szCs w:val="20"/>
                <w:lang w:bidi="fa-IR"/>
              </w:rPr>
            </w:pPr>
            <w:r w:rsidRPr="00D355CA">
              <w:rPr>
                <w:rFonts w:asciiTheme="majorBidi" w:eastAsia="Calibri" w:hAnsiTheme="majorBidi" w:cs="B Nazanin"/>
                <w:b/>
                <w:bCs/>
                <w:sz w:val="20"/>
                <w:szCs w:val="20"/>
                <w:rtl/>
                <w:lang w:bidi="fa-IR"/>
              </w:rPr>
              <w:t>آزمون بین گروهی من ویتنی یو</w:t>
            </w:r>
          </w:p>
        </w:tc>
      </w:tr>
      <w:tr w:rsidR="00A0693D" w:rsidRPr="00D355CA" w14:paraId="08BA3828" w14:textId="77777777" w:rsidTr="00A0693D">
        <w:trPr>
          <w:trHeight w:val="150"/>
          <w:jc w:val="center"/>
        </w:trPr>
        <w:tc>
          <w:tcPr>
            <w:tcW w:w="2484" w:type="dxa"/>
            <w:gridSpan w:val="2"/>
            <w:vMerge/>
            <w:tcBorders>
              <w:left w:val="single" w:sz="12" w:space="0" w:color="auto"/>
            </w:tcBorders>
            <w:vAlign w:val="center"/>
          </w:tcPr>
          <w:p w14:paraId="5FE34365" w14:textId="77777777" w:rsidR="00A0693D" w:rsidRPr="00D355CA" w:rsidRDefault="00A0693D" w:rsidP="00CE15FA">
            <w:pPr>
              <w:jc w:val="center"/>
              <w:rPr>
                <w:rFonts w:asciiTheme="majorBidi" w:eastAsia="Calibri" w:hAnsiTheme="majorBidi" w:cs="B Nazanin"/>
                <w:b/>
                <w:bCs/>
                <w:sz w:val="20"/>
                <w:szCs w:val="20"/>
                <w:rtl/>
                <w:lang w:bidi="fa-IR"/>
              </w:rPr>
            </w:pPr>
          </w:p>
        </w:tc>
        <w:tc>
          <w:tcPr>
            <w:tcW w:w="1843" w:type="dxa"/>
            <w:vAlign w:val="center"/>
          </w:tcPr>
          <w:p w14:paraId="2C9D5C26" w14:textId="77777777" w:rsidR="00A0693D" w:rsidRPr="00D355CA" w:rsidRDefault="00A0693D" w:rsidP="00CE15FA">
            <w:pPr>
              <w:jc w:val="center"/>
              <w:rPr>
                <w:rFonts w:asciiTheme="majorBidi" w:eastAsia="Calibri" w:hAnsiTheme="majorBidi" w:cs="B Nazanin"/>
                <w:b/>
                <w:bCs/>
                <w:sz w:val="20"/>
                <w:szCs w:val="20"/>
                <w:rtl/>
                <w:lang w:bidi="fa-IR"/>
              </w:rPr>
            </w:pPr>
            <w:r w:rsidRPr="00D355CA">
              <w:rPr>
                <w:rFonts w:asciiTheme="majorBidi" w:eastAsia="Calibri" w:hAnsiTheme="majorBidi" w:cs="B Nazanin"/>
                <w:b/>
                <w:bCs/>
                <w:sz w:val="20"/>
                <w:szCs w:val="20"/>
                <w:rtl/>
                <w:lang w:bidi="fa-IR"/>
              </w:rPr>
              <w:t>مداخله</w:t>
            </w:r>
          </w:p>
          <w:p w14:paraId="2BE4EB35" w14:textId="77777777" w:rsidR="00A0693D" w:rsidRPr="00D355CA" w:rsidRDefault="00A0693D" w:rsidP="00CE15FA">
            <w:pPr>
              <w:jc w:val="center"/>
              <w:rPr>
                <w:rFonts w:asciiTheme="majorBidi" w:eastAsia="Calibri" w:hAnsiTheme="majorBidi" w:cs="B Nazanin"/>
                <w:b/>
                <w:bCs/>
                <w:sz w:val="20"/>
                <w:szCs w:val="20"/>
                <w:rtl/>
                <w:lang w:bidi="fa-IR"/>
              </w:rPr>
            </w:pPr>
            <w:r w:rsidRPr="00D355CA">
              <w:rPr>
                <w:rFonts w:asciiTheme="majorBidi" w:eastAsia="Calibri" w:hAnsiTheme="majorBidi" w:cs="B Nazanin"/>
                <w:b/>
                <w:bCs/>
                <w:sz w:val="20"/>
                <w:szCs w:val="20"/>
                <w:rtl/>
                <w:lang w:bidi="fa-IR"/>
              </w:rPr>
              <w:t>میانگین</w:t>
            </w:r>
            <w:r w:rsidRPr="00D355CA">
              <w:rPr>
                <w:rFonts w:ascii="Calibri" w:eastAsia="Calibri" w:hAnsi="Calibri" w:cs="Calibri" w:hint="cs"/>
                <w:b/>
                <w:bCs/>
                <w:sz w:val="20"/>
                <w:szCs w:val="20"/>
                <w:rtl/>
                <w:lang w:bidi="fa-IR"/>
              </w:rPr>
              <w:t>±</w:t>
            </w:r>
            <w:r w:rsidRPr="00D355CA">
              <w:rPr>
                <w:rFonts w:asciiTheme="majorBidi" w:eastAsia="Calibri" w:hAnsiTheme="majorBidi" w:cs="B Nazanin"/>
                <w:b/>
                <w:bCs/>
                <w:sz w:val="20"/>
                <w:szCs w:val="20"/>
                <w:rtl/>
                <w:lang w:bidi="fa-IR"/>
              </w:rPr>
              <w:t xml:space="preserve"> انحراف معیار</w:t>
            </w:r>
          </w:p>
        </w:tc>
        <w:tc>
          <w:tcPr>
            <w:tcW w:w="1843" w:type="dxa"/>
            <w:vAlign w:val="center"/>
          </w:tcPr>
          <w:p w14:paraId="08201C16" w14:textId="77777777" w:rsidR="00A0693D" w:rsidRPr="00D355CA" w:rsidRDefault="00A0693D" w:rsidP="00CE15FA">
            <w:pPr>
              <w:jc w:val="center"/>
              <w:rPr>
                <w:rFonts w:asciiTheme="majorBidi" w:eastAsia="Calibri" w:hAnsiTheme="majorBidi" w:cs="B Nazanin"/>
                <w:b/>
                <w:bCs/>
                <w:sz w:val="20"/>
                <w:szCs w:val="20"/>
                <w:rtl/>
                <w:lang w:bidi="fa-IR"/>
              </w:rPr>
            </w:pPr>
            <w:r w:rsidRPr="00D355CA">
              <w:rPr>
                <w:rFonts w:asciiTheme="majorBidi" w:eastAsia="Calibri" w:hAnsiTheme="majorBidi" w:cs="B Nazanin"/>
                <w:b/>
                <w:bCs/>
                <w:sz w:val="20"/>
                <w:szCs w:val="20"/>
                <w:rtl/>
                <w:lang w:bidi="fa-IR"/>
              </w:rPr>
              <w:t>کنترل</w:t>
            </w:r>
          </w:p>
          <w:p w14:paraId="52E22493" w14:textId="77777777" w:rsidR="00A0693D" w:rsidRPr="00D355CA" w:rsidRDefault="00A0693D" w:rsidP="00CE15FA">
            <w:pPr>
              <w:jc w:val="center"/>
              <w:rPr>
                <w:rFonts w:asciiTheme="majorBidi" w:eastAsia="Calibri" w:hAnsiTheme="majorBidi" w:cs="B Nazanin"/>
                <w:b/>
                <w:bCs/>
                <w:sz w:val="20"/>
                <w:szCs w:val="20"/>
                <w:rtl/>
                <w:lang w:bidi="fa-IR"/>
              </w:rPr>
            </w:pPr>
            <w:r w:rsidRPr="00D355CA">
              <w:rPr>
                <w:rFonts w:asciiTheme="majorBidi" w:eastAsia="Calibri" w:hAnsiTheme="majorBidi" w:cs="B Nazanin"/>
                <w:b/>
                <w:bCs/>
                <w:sz w:val="20"/>
                <w:szCs w:val="20"/>
                <w:rtl/>
                <w:lang w:bidi="fa-IR"/>
              </w:rPr>
              <w:t>میانگین</w:t>
            </w:r>
            <w:r w:rsidRPr="00D355CA">
              <w:rPr>
                <w:rFonts w:ascii="Calibri" w:eastAsia="Calibri" w:hAnsi="Calibri" w:cs="Calibri" w:hint="cs"/>
                <w:b/>
                <w:bCs/>
                <w:sz w:val="20"/>
                <w:szCs w:val="20"/>
                <w:rtl/>
                <w:lang w:bidi="fa-IR"/>
              </w:rPr>
              <w:t>±</w:t>
            </w:r>
            <w:r w:rsidRPr="00D355CA">
              <w:rPr>
                <w:rFonts w:asciiTheme="majorBidi" w:eastAsia="Calibri" w:hAnsiTheme="majorBidi" w:cs="B Nazanin"/>
                <w:b/>
                <w:bCs/>
                <w:sz w:val="20"/>
                <w:szCs w:val="20"/>
                <w:rtl/>
                <w:lang w:bidi="fa-IR"/>
              </w:rPr>
              <w:t xml:space="preserve"> انحراف معیار</w:t>
            </w:r>
          </w:p>
        </w:tc>
        <w:tc>
          <w:tcPr>
            <w:tcW w:w="2404" w:type="dxa"/>
            <w:vMerge/>
            <w:tcBorders>
              <w:right w:val="single" w:sz="12" w:space="0" w:color="auto"/>
            </w:tcBorders>
            <w:vAlign w:val="center"/>
          </w:tcPr>
          <w:p w14:paraId="48A1F82A" w14:textId="77777777" w:rsidR="00A0693D" w:rsidRPr="00D355CA" w:rsidRDefault="00A0693D" w:rsidP="00CE15FA">
            <w:pPr>
              <w:jc w:val="center"/>
              <w:rPr>
                <w:rFonts w:asciiTheme="majorBidi" w:eastAsia="Calibri" w:hAnsiTheme="majorBidi" w:cs="B Nazanin"/>
                <w:b/>
                <w:bCs/>
                <w:sz w:val="20"/>
                <w:szCs w:val="20"/>
                <w:rtl/>
                <w:lang w:bidi="fa-IR"/>
              </w:rPr>
            </w:pPr>
          </w:p>
        </w:tc>
      </w:tr>
      <w:tr w:rsidR="00A0693D" w:rsidRPr="00D355CA" w14:paraId="499715B2" w14:textId="77777777" w:rsidTr="00A0693D">
        <w:trPr>
          <w:jc w:val="center"/>
        </w:trPr>
        <w:tc>
          <w:tcPr>
            <w:tcW w:w="643" w:type="dxa"/>
            <w:vMerge w:val="restart"/>
            <w:tcBorders>
              <w:left w:val="single" w:sz="12" w:space="0" w:color="auto"/>
            </w:tcBorders>
            <w:vAlign w:val="center"/>
          </w:tcPr>
          <w:p w14:paraId="6B090249" w14:textId="77777777" w:rsidR="00A0693D" w:rsidRPr="00D355CA" w:rsidRDefault="00A0693D" w:rsidP="00CE15FA">
            <w:pPr>
              <w:bidi/>
              <w:jc w:val="center"/>
              <w:rPr>
                <w:rFonts w:asciiTheme="majorBidi" w:eastAsia="Calibri" w:hAnsiTheme="majorBidi" w:cs="B Nazanin"/>
                <w:b/>
                <w:bCs/>
                <w:sz w:val="20"/>
                <w:szCs w:val="20"/>
                <w:rtl/>
                <w:lang w:bidi="fa-IR"/>
              </w:rPr>
            </w:pPr>
            <w:r w:rsidRPr="00D355CA">
              <w:rPr>
                <w:rFonts w:asciiTheme="majorBidi" w:eastAsia="Calibri" w:hAnsiTheme="majorBidi" w:cs="B Nazanin"/>
                <w:b/>
                <w:bCs/>
                <w:sz w:val="20"/>
                <w:szCs w:val="20"/>
                <w:rtl/>
                <w:lang w:bidi="fa-IR"/>
              </w:rPr>
              <w:t>آگاهی</w:t>
            </w:r>
          </w:p>
        </w:tc>
        <w:tc>
          <w:tcPr>
            <w:tcW w:w="1841" w:type="dxa"/>
            <w:shd w:val="clear" w:color="auto" w:fill="F2F2F2" w:themeFill="background1" w:themeFillShade="F2"/>
            <w:vAlign w:val="center"/>
          </w:tcPr>
          <w:p w14:paraId="53A9ADB8" w14:textId="77777777" w:rsidR="00A0693D" w:rsidRPr="00D355CA" w:rsidRDefault="00A0693D" w:rsidP="00CE15FA">
            <w:pPr>
              <w:jc w:val="center"/>
              <w:rPr>
                <w:rFonts w:asciiTheme="majorBidi" w:eastAsia="Calibri" w:hAnsiTheme="majorBidi" w:cs="B Nazanin"/>
                <w:b/>
                <w:bCs/>
                <w:sz w:val="20"/>
                <w:szCs w:val="20"/>
                <w:lang w:bidi="fa-IR"/>
              </w:rPr>
            </w:pPr>
            <w:r w:rsidRPr="00D355CA">
              <w:rPr>
                <w:rFonts w:asciiTheme="majorBidi" w:eastAsia="Calibri" w:hAnsiTheme="majorBidi" w:cs="B Nazanin"/>
                <w:b/>
                <w:bCs/>
                <w:sz w:val="20"/>
                <w:szCs w:val="20"/>
                <w:rtl/>
                <w:lang w:bidi="fa-IR"/>
              </w:rPr>
              <w:t>قبل</w:t>
            </w:r>
          </w:p>
        </w:tc>
        <w:tc>
          <w:tcPr>
            <w:tcW w:w="1843" w:type="dxa"/>
            <w:shd w:val="clear" w:color="auto" w:fill="F2F2F2" w:themeFill="background1" w:themeFillShade="F2"/>
            <w:vAlign w:val="center"/>
          </w:tcPr>
          <w:p w14:paraId="2F7A47C8" w14:textId="77777777" w:rsidR="00A0693D" w:rsidRPr="00D355CA" w:rsidRDefault="00A0693D" w:rsidP="00CE15FA">
            <w:pPr>
              <w:jc w:val="center"/>
              <w:rPr>
                <w:rFonts w:asciiTheme="majorBidi" w:eastAsia="Calibri" w:hAnsiTheme="majorBidi" w:cs="B Nazanin"/>
                <w:b/>
                <w:bCs/>
                <w:sz w:val="20"/>
                <w:szCs w:val="20"/>
                <w:lang w:bidi="fa-IR"/>
              </w:rPr>
            </w:pPr>
            <w:r w:rsidRPr="00D355CA">
              <w:rPr>
                <w:rFonts w:asciiTheme="majorBidi" w:eastAsia="Calibri" w:hAnsiTheme="majorBidi" w:cs="B Nazanin"/>
                <w:b/>
                <w:bCs/>
                <w:sz w:val="20"/>
                <w:szCs w:val="20"/>
                <w:rtl/>
                <w:lang w:bidi="fa-IR"/>
              </w:rPr>
              <w:t>84/24</w:t>
            </w:r>
            <w:r w:rsidRPr="00D355CA">
              <w:rPr>
                <w:rFonts w:asciiTheme="majorBidi" w:eastAsia="Calibri" w:hAnsiTheme="majorBidi" w:cs="B Nazanin"/>
                <w:b/>
                <w:bCs/>
                <w:sz w:val="20"/>
                <w:szCs w:val="20"/>
                <w:lang w:bidi="fa-IR"/>
              </w:rPr>
              <w:t>±</w:t>
            </w:r>
            <w:r w:rsidRPr="00D355CA">
              <w:rPr>
                <w:rFonts w:asciiTheme="majorBidi" w:eastAsia="Calibri" w:hAnsiTheme="majorBidi" w:cs="B Nazanin"/>
                <w:b/>
                <w:bCs/>
                <w:sz w:val="20"/>
                <w:szCs w:val="20"/>
                <w:rtl/>
                <w:lang w:bidi="fa-IR"/>
              </w:rPr>
              <w:t>81/2</w:t>
            </w:r>
          </w:p>
        </w:tc>
        <w:tc>
          <w:tcPr>
            <w:tcW w:w="1843" w:type="dxa"/>
            <w:shd w:val="clear" w:color="auto" w:fill="F2F2F2" w:themeFill="background1" w:themeFillShade="F2"/>
            <w:vAlign w:val="center"/>
          </w:tcPr>
          <w:p w14:paraId="012098A1" w14:textId="77777777" w:rsidR="00A0693D" w:rsidRPr="00D355CA" w:rsidRDefault="00A0693D" w:rsidP="00CE15FA">
            <w:pPr>
              <w:jc w:val="center"/>
              <w:rPr>
                <w:rFonts w:asciiTheme="majorBidi" w:eastAsia="Calibri" w:hAnsiTheme="majorBidi" w:cs="B Nazanin"/>
                <w:b/>
                <w:bCs/>
                <w:sz w:val="20"/>
                <w:szCs w:val="20"/>
                <w:lang w:bidi="fa-IR"/>
              </w:rPr>
            </w:pPr>
            <w:r w:rsidRPr="00D355CA">
              <w:rPr>
                <w:rFonts w:asciiTheme="majorBidi" w:eastAsia="Calibri" w:hAnsiTheme="majorBidi" w:cs="B Nazanin"/>
                <w:b/>
                <w:bCs/>
                <w:sz w:val="20"/>
                <w:szCs w:val="20"/>
                <w:rtl/>
                <w:lang w:bidi="fa-IR"/>
              </w:rPr>
              <w:t>35/25</w:t>
            </w:r>
            <w:r w:rsidRPr="00D355CA">
              <w:rPr>
                <w:rFonts w:asciiTheme="majorBidi" w:eastAsia="Calibri" w:hAnsiTheme="majorBidi" w:cs="B Nazanin"/>
                <w:b/>
                <w:bCs/>
                <w:sz w:val="20"/>
                <w:szCs w:val="20"/>
                <w:lang w:bidi="fa-IR"/>
              </w:rPr>
              <w:t>±</w:t>
            </w:r>
            <w:r w:rsidRPr="00D355CA">
              <w:rPr>
                <w:rFonts w:asciiTheme="majorBidi" w:eastAsia="Calibri" w:hAnsiTheme="majorBidi" w:cs="B Nazanin"/>
                <w:b/>
                <w:bCs/>
                <w:sz w:val="20"/>
                <w:szCs w:val="20"/>
                <w:rtl/>
                <w:lang w:bidi="fa-IR"/>
              </w:rPr>
              <w:t>98/2</w:t>
            </w:r>
          </w:p>
        </w:tc>
        <w:tc>
          <w:tcPr>
            <w:tcW w:w="2404" w:type="dxa"/>
            <w:tcBorders>
              <w:right w:val="single" w:sz="12" w:space="0" w:color="auto"/>
            </w:tcBorders>
            <w:vAlign w:val="center"/>
          </w:tcPr>
          <w:p w14:paraId="5A8C0B37" w14:textId="77777777" w:rsidR="00A0693D" w:rsidRPr="00D355CA" w:rsidRDefault="00A0693D" w:rsidP="00CE15FA">
            <w:pPr>
              <w:jc w:val="center"/>
              <w:rPr>
                <w:rFonts w:asciiTheme="majorBidi" w:eastAsia="Calibri" w:hAnsiTheme="majorBidi" w:cs="B Nazanin"/>
                <w:b/>
                <w:bCs/>
                <w:sz w:val="20"/>
                <w:szCs w:val="20"/>
                <w:rtl/>
                <w:lang w:bidi="fa-IR"/>
              </w:rPr>
            </w:pPr>
            <w:r w:rsidRPr="00D355CA">
              <w:rPr>
                <w:rFonts w:asciiTheme="majorBidi" w:eastAsia="Calibri" w:hAnsiTheme="majorBidi" w:cs="B Nazanin"/>
                <w:b/>
                <w:bCs/>
                <w:sz w:val="20"/>
                <w:szCs w:val="20"/>
                <w:rtl/>
                <w:lang w:bidi="fa-IR"/>
              </w:rPr>
              <w:t>471/0</w:t>
            </w:r>
          </w:p>
        </w:tc>
      </w:tr>
      <w:tr w:rsidR="00A0693D" w:rsidRPr="00D355CA" w14:paraId="601F9D1F" w14:textId="77777777" w:rsidTr="00A0693D">
        <w:trPr>
          <w:jc w:val="center"/>
        </w:trPr>
        <w:tc>
          <w:tcPr>
            <w:tcW w:w="643" w:type="dxa"/>
            <w:vMerge/>
            <w:tcBorders>
              <w:left w:val="single" w:sz="12" w:space="0" w:color="auto"/>
            </w:tcBorders>
            <w:vAlign w:val="center"/>
          </w:tcPr>
          <w:p w14:paraId="4428355D" w14:textId="77777777" w:rsidR="00A0693D" w:rsidRPr="00D355CA" w:rsidRDefault="00A0693D" w:rsidP="00CE15FA">
            <w:pPr>
              <w:jc w:val="center"/>
              <w:rPr>
                <w:rFonts w:asciiTheme="majorBidi" w:eastAsia="Calibri" w:hAnsiTheme="majorBidi" w:cs="B Nazanin"/>
                <w:b/>
                <w:bCs/>
                <w:sz w:val="20"/>
                <w:szCs w:val="20"/>
                <w:lang w:bidi="fa-IR"/>
              </w:rPr>
            </w:pPr>
          </w:p>
        </w:tc>
        <w:tc>
          <w:tcPr>
            <w:tcW w:w="1841" w:type="dxa"/>
            <w:vAlign w:val="center"/>
          </w:tcPr>
          <w:p w14:paraId="5594199C" w14:textId="77777777" w:rsidR="00A0693D" w:rsidRPr="00D355CA" w:rsidRDefault="00A0693D" w:rsidP="00CE15FA">
            <w:pPr>
              <w:jc w:val="center"/>
              <w:rPr>
                <w:rFonts w:asciiTheme="majorBidi" w:eastAsia="Calibri" w:hAnsiTheme="majorBidi" w:cs="B Nazanin"/>
                <w:b/>
                <w:bCs/>
                <w:sz w:val="20"/>
                <w:szCs w:val="20"/>
                <w:lang w:bidi="fa-IR"/>
              </w:rPr>
            </w:pPr>
            <w:r w:rsidRPr="00D355CA">
              <w:rPr>
                <w:rFonts w:asciiTheme="majorBidi" w:eastAsia="Calibri" w:hAnsiTheme="majorBidi" w:cs="B Nazanin"/>
                <w:b/>
                <w:bCs/>
                <w:sz w:val="20"/>
                <w:szCs w:val="20"/>
                <w:rtl/>
                <w:lang w:bidi="fa-IR"/>
              </w:rPr>
              <w:t>بعد</w:t>
            </w:r>
          </w:p>
        </w:tc>
        <w:tc>
          <w:tcPr>
            <w:tcW w:w="1843" w:type="dxa"/>
            <w:vAlign w:val="center"/>
          </w:tcPr>
          <w:p w14:paraId="2DA753EF" w14:textId="77777777" w:rsidR="00A0693D" w:rsidRPr="00D355CA" w:rsidRDefault="00A0693D" w:rsidP="00CE15FA">
            <w:pPr>
              <w:jc w:val="center"/>
              <w:rPr>
                <w:rFonts w:asciiTheme="majorBidi" w:eastAsia="Calibri" w:hAnsiTheme="majorBidi" w:cs="B Nazanin"/>
                <w:b/>
                <w:bCs/>
                <w:sz w:val="20"/>
                <w:szCs w:val="20"/>
                <w:lang w:bidi="fa-IR"/>
              </w:rPr>
            </w:pPr>
            <w:r w:rsidRPr="00D355CA">
              <w:rPr>
                <w:rFonts w:asciiTheme="majorBidi" w:eastAsia="Calibri" w:hAnsiTheme="majorBidi" w:cs="B Nazanin"/>
                <w:b/>
                <w:bCs/>
                <w:sz w:val="20"/>
                <w:szCs w:val="20"/>
                <w:rtl/>
                <w:lang w:bidi="fa-IR"/>
              </w:rPr>
              <w:t>11/31</w:t>
            </w:r>
            <w:r w:rsidRPr="00D355CA">
              <w:rPr>
                <w:rFonts w:asciiTheme="majorBidi" w:eastAsia="Calibri" w:hAnsiTheme="majorBidi" w:cs="B Nazanin"/>
                <w:b/>
                <w:bCs/>
                <w:sz w:val="20"/>
                <w:szCs w:val="20"/>
                <w:lang w:bidi="fa-IR"/>
              </w:rPr>
              <w:t>±</w:t>
            </w:r>
            <w:r w:rsidRPr="00D355CA">
              <w:rPr>
                <w:rFonts w:asciiTheme="majorBidi" w:eastAsia="Calibri" w:hAnsiTheme="majorBidi" w:cs="B Nazanin"/>
                <w:b/>
                <w:bCs/>
                <w:sz w:val="20"/>
                <w:szCs w:val="20"/>
                <w:rtl/>
                <w:lang w:bidi="fa-IR"/>
              </w:rPr>
              <w:t>12/3</w:t>
            </w:r>
          </w:p>
        </w:tc>
        <w:tc>
          <w:tcPr>
            <w:tcW w:w="1843" w:type="dxa"/>
            <w:vAlign w:val="center"/>
          </w:tcPr>
          <w:p w14:paraId="074BBEA3" w14:textId="77777777" w:rsidR="00A0693D" w:rsidRPr="00D355CA" w:rsidRDefault="00A0693D" w:rsidP="00CE15FA">
            <w:pPr>
              <w:jc w:val="center"/>
              <w:rPr>
                <w:rFonts w:asciiTheme="majorBidi" w:eastAsia="Calibri" w:hAnsiTheme="majorBidi" w:cs="B Nazanin"/>
                <w:b/>
                <w:bCs/>
                <w:sz w:val="20"/>
                <w:szCs w:val="20"/>
                <w:lang w:bidi="fa-IR"/>
              </w:rPr>
            </w:pPr>
            <w:r w:rsidRPr="00D355CA">
              <w:rPr>
                <w:rFonts w:asciiTheme="majorBidi" w:eastAsia="Calibri" w:hAnsiTheme="majorBidi" w:cs="B Nazanin"/>
                <w:b/>
                <w:bCs/>
                <w:sz w:val="20"/>
                <w:szCs w:val="20"/>
                <w:rtl/>
                <w:lang w:bidi="fa-IR"/>
              </w:rPr>
              <w:t>81/25</w:t>
            </w:r>
            <w:r w:rsidRPr="00D355CA">
              <w:rPr>
                <w:rFonts w:asciiTheme="majorBidi" w:eastAsia="Calibri" w:hAnsiTheme="majorBidi" w:cs="B Nazanin"/>
                <w:b/>
                <w:bCs/>
                <w:sz w:val="20"/>
                <w:szCs w:val="20"/>
                <w:lang w:bidi="fa-IR"/>
              </w:rPr>
              <w:t>±</w:t>
            </w:r>
            <w:r w:rsidRPr="00D355CA">
              <w:rPr>
                <w:rFonts w:asciiTheme="majorBidi" w:eastAsia="Calibri" w:hAnsiTheme="majorBidi" w:cs="B Nazanin"/>
                <w:b/>
                <w:bCs/>
                <w:sz w:val="20"/>
                <w:szCs w:val="20"/>
                <w:rtl/>
                <w:lang w:bidi="fa-IR"/>
              </w:rPr>
              <w:t>08/3</w:t>
            </w:r>
          </w:p>
        </w:tc>
        <w:tc>
          <w:tcPr>
            <w:tcW w:w="2404" w:type="dxa"/>
            <w:tcBorders>
              <w:right w:val="single" w:sz="12" w:space="0" w:color="auto"/>
            </w:tcBorders>
            <w:vAlign w:val="center"/>
          </w:tcPr>
          <w:p w14:paraId="7FDD1946" w14:textId="77777777" w:rsidR="00A0693D" w:rsidRPr="00D355CA" w:rsidRDefault="00A0693D" w:rsidP="00CE15FA">
            <w:pPr>
              <w:jc w:val="center"/>
              <w:rPr>
                <w:rFonts w:asciiTheme="majorBidi" w:eastAsia="Calibri" w:hAnsiTheme="majorBidi" w:cs="B Nazanin"/>
                <w:b/>
                <w:bCs/>
                <w:sz w:val="20"/>
                <w:szCs w:val="20"/>
                <w:rtl/>
                <w:lang w:bidi="fa-IR"/>
              </w:rPr>
            </w:pPr>
            <w:r w:rsidRPr="00D355CA">
              <w:rPr>
                <w:rFonts w:asciiTheme="majorBidi" w:eastAsia="Calibri" w:hAnsiTheme="majorBidi" w:cs="B Nazanin"/>
                <w:b/>
                <w:bCs/>
                <w:sz w:val="20"/>
                <w:szCs w:val="20"/>
                <w:rtl/>
                <w:lang w:bidi="fa-IR"/>
              </w:rPr>
              <w:t>001/0 &gt;</w:t>
            </w:r>
          </w:p>
        </w:tc>
      </w:tr>
      <w:tr w:rsidR="00A0693D" w:rsidRPr="00D355CA" w14:paraId="023BBC7E" w14:textId="77777777" w:rsidTr="00A0693D">
        <w:trPr>
          <w:trHeight w:val="126"/>
          <w:jc w:val="center"/>
        </w:trPr>
        <w:tc>
          <w:tcPr>
            <w:tcW w:w="643" w:type="dxa"/>
            <w:vMerge/>
            <w:tcBorders>
              <w:left w:val="single" w:sz="12" w:space="0" w:color="auto"/>
            </w:tcBorders>
            <w:vAlign w:val="center"/>
          </w:tcPr>
          <w:p w14:paraId="37DB907E" w14:textId="77777777" w:rsidR="00A0693D" w:rsidRPr="00D355CA" w:rsidRDefault="00A0693D" w:rsidP="00CE15FA">
            <w:pPr>
              <w:jc w:val="center"/>
              <w:rPr>
                <w:rFonts w:asciiTheme="majorBidi" w:eastAsia="Calibri" w:hAnsiTheme="majorBidi" w:cs="B Nazanin"/>
                <w:b/>
                <w:bCs/>
                <w:sz w:val="20"/>
                <w:szCs w:val="20"/>
                <w:lang w:bidi="fa-IR"/>
              </w:rPr>
            </w:pPr>
          </w:p>
        </w:tc>
        <w:tc>
          <w:tcPr>
            <w:tcW w:w="1841" w:type="dxa"/>
            <w:shd w:val="clear" w:color="auto" w:fill="F2F2F2" w:themeFill="background1" w:themeFillShade="F2"/>
            <w:vAlign w:val="center"/>
          </w:tcPr>
          <w:p w14:paraId="7D4310A1" w14:textId="77777777" w:rsidR="00A0693D" w:rsidRPr="00D355CA" w:rsidRDefault="00A0693D" w:rsidP="00CE15FA">
            <w:pPr>
              <w:jc w:val="center"/>
              <w:rPr>
                <w:rFonts w:asciiTheme="majorBidi" w:eastAsia="Calibri" w:hAnsiTheme="majorBidi" w:cs="B Nazanin"/>
                <w:b/>
                <w:bCs/>
                <w:sz w:val="20"/>
                <w:szCs w:val="20"/>
                <w:rtl/>
                <w:lang w:bidi="fa-IR"/>
              </w:rPr>
            </w:pPr>
            <w:r w:rsidRPr="00D355CA">
              <w:rPr>
                <w:rFonts w:asciiTheme="majorBidi" w:eastAsia="Calibri" w:hAnsiTheme="majorBidi" w:cs="B Nazanin"/>
                <w:b/>
                <w:bCs/>
                <w:sz w:val="20"/>
                <w:szCs w:val="20"/>
                <w:rtl/>
                <w:lang w:bidi="fa-IR"/>
              </w:rPr>
              <w:t>تفاضل نمره قبل و بعد</w:t>
            </w:r>
          </w:p>
        </w:tc>
        <w:tc>
          <w:tcPr>
            <w:tcW w:w="1843" w:type="dxa"/>
            <w:shd w:val="clear" w:color="auto" w:fill="F2F2F2" w:themeFill="background1" w:themeFillShade="F2"/>
            <w:vAlign w:val="center"/>
          </w:tcPr>
          <w:p w14:paraId="10E1EF0C" w14:textId="77777777" w:rsidR="00A0693D" w:rsidRPr="00D355CA" w:rsidRDefault="00A0693D" w:rsidP="00CE15FA">
            <w:pPr>
              <w:jc w:val="center"/>
              <w:rPr>
                <w:rFonts w:asciiTheme="majorBidi" w:eastAsia="Calibri" w:hAnsiTheme="majorBidi" w:cs="B Nazanin"/>
                <w:b/>
                <w:bCs/>
                <w:sz w:val="20"/>
                <w:szCs w:val="20"/>
                <w:lang w:bidi="fa-IR"/>
              </w:rPr>
            </w:pPr>
            <w:r w:rsidRPr="00D355CA">
              <w:rPr>
                <w:rFonts w:asciiTheme="majorBidi" w:eastAsia="Calibri" w:hAnsiTheme="majorBidi" w:cs="B Nazanin"/>
                <w:b/>
                <w:bCs/>
                <w:sz w:val="20"/>
                <w:szCs w:val="20"/>
                <w:rtl/>
                <w:lang w:bidi="fa-IR"/>
              </w:rPr>
              <w:t>26/6</w:t>
            </w:r>
            <w:r w:rsidRPr="00D355CA">
              <w:rPr>
                <w:rFonts w:asciiTheme="majorBidi" w:eastAsia="Calibri" w:hAnsiTheme="majorBidi" w:cs="B Nazanin"/>
                <w:b/>
                <w:bCs/>
                <w:sz w:val="20"/>
                <w:szCs w:val="20"/>
                <w:lang w:bidi="fa-IR"/>
              </w:rPr>
              <w:t>±</w:t>
            </w:r>
            <w:r w:rsidRPr="00D355CA">
              <w:rPr>
                <w:rFonts w:asciiTheme="majorBidi" w:eastAsia="Calibri" w:hAnsiTheme="majorBidi" w:cs="B Nazanin"/>
                <w:b/>
                <w:bCs/>
                <w:sz w:val="20"/>
                <w:szCs w:val="20"/>
                <w:rtl/>
                <w:lang w:bidi="fa-IR"/>
              </w:rPr>
              <w:t>21/4</w:t>
            </w:r>
          </w:p>
        </w:tc>
        <w:tc>
          <w:tcPr>
            <w:tcW w:w="1843" w:type="dxa"/>
            <w:shd w:val="clear" w:color="auto" w:fill="F2F2F2" w:themeFill="background1" w:themeFillShade="F2"/>
            <w:vAlign w:val="center"/>
          </w:tcPr>
          <w:p w14:paraId="469C4AE5" w14:textId="77777777" w:rsidR="00A0693D" w:rsidRPr="00D355CA" w:rsidRDefault="00A0693D" w:rsidP="00CE15FA">
            <w:pPr>
              <w:jc w:val="center"/>
              <w:rPr>
                <w:rFonts w:asciiTheme="majorBidi" w:eastAsia="Calibri" w:hAnsiTheme="majorBidi" w:cs="B Nazanin"/>
                <w:b/>
                <w:bCs/>
                <w:sz w:val="20"/>
                <w:szCs w:val="20"/>
                <w:lang w:bidi="fa-IR"/>
              </w:rPr>
            </w:pPr>
            <w:r w:rsidRPr="00D355CA">
              <w:rPr>
                <w:rFonts w:asciiTheme="majorBidi" w:eastAsia="Calibri" w:hAnsiTheme="majorBidi" w:cs="B Nazanin"/>
                <w:b/>
                <w:bCs/>
                <w:sz w:val="20"/>
                <w:szCs w:val="20"/>
                <w:rtl/>
                <w:lang w:bidi="fa-IR"/>
              </w:rPr>
              <w:t>45/0</w:t>
            </w:r>
            <w:r w:rsidRPr="00D355CA">
              <w:rPr>
                <w:rFonts w:asciiTheme="majorBidi" w:eastAsia="Calibri" w:hAnsiTheme="majorBidi" w:cs="B Nazanin"/>
                <w:b/>
                <w:bCs/>
                <w:sz w:val="20"/>
                <w:szCs w:val="20"/>
                <w:lang w:bidi="fa-IR"/>
              </w:rPr>
              <w:t>±</w:t>
            </w:r>
            <w:r w:rsidRPr="00D355CA">
              <w:rPr>
                <w:rFonts w:asciiTheme="majorBidi" w:eastAsia="Calibri" w:hAnsiTheme="majorBidi" w:cs="B Nazanin"/>
                <w:b/>
                <w:bCs/>
                <w:sz w:val="20"/>
                <w:szCs w:val="20"/>
                <w:rtl/>
                <w:lang w:bidi="fa-IR"/>
              </w:rPr>
              <w:t>87/1</w:t>
            </w:r>
          </w:p>
        </w:tc>
        <w:tc>
          <w:tcPr>
            <w:tcW w:w="2404" w:type="dxa"/>
            <w:vMerge w:val="restart"/>
            <w:tcBorders>
              <w:right w:val="single" w:sz="12" w:space="0" w:color="auto"/>
            </w:tcBorders>
            <w:vAlign w:val="center"/>
          </w:tcPr>
          <w:p w14:paraId="74F1FB1F" w14:textId="77777777" w:rsidR="00A0693D" w:rsidRPr="00D355CA" w:rsidRDefault="00A0693D" w:rsidP="00CE15FA">
            <w:pPr>
              <w:jc w:val="center"/>
              <w:rPr>
                <w:rFonts w:asciiTheme="majorBidi" w:eastAsia="Calibri" w:hAnsiTheme="majorBidi" w:cs="B Nazanin"/>
                <w:b/>
                <w:bCs/>
                <w:sz w:val="20"/>
                <w:szCs w:val="20"/>
                <w:lang w:bidi="fa-IR"/>
              </w:rPr>
            </w:pPr>
            <w:r w:rsidRPr="00D355CA">
              <w:rPr>
                <w:rFonts w:asciiTheme="majorBidi" w:eastAsia="Calibri" w:hAnsiTheme="majorBidi" w:cs="B Nazanin"/>
                <w:b/>
                <w:bCs/>
                <w:sz w:val="20"/>
                <w:szCs w:val="20"/>
                <w:rtl/>
                <w:lang w:bidi="fa-IR"/>
              </w:rPr>
              <w:t>001/0 &gt;</w:t>
            </w:r>
          </w:p>
        </w:tc>
      </w:tr>
      <w:tr w:rsidR="00A0693D" w:rsidRPr="00D355CA" w14:paraId="1918B799" w14:textId="77777777" w:rsidTr="00A0693D">
        <w:trPr>
          <w:trHeight w:val="200"/>
          <w:jc w:val="center"/>
        </w:trPr>
        <w:tc>
          <w:tcPr>
            <w:tcW w:w="643" w:type="dxa"/>
            <w:vMerge/>
            <w:tcBorders>
              <w:left w:val="single" w:sz="12" w:space="0" w:color="auto"/>
              <w:bottom w:val="single" w:sz="12" w:space="0" w:color="auto"/>
            </w:tcBorders>
            <w:vAlign w:val="center"/>
          </w:tcPr>
          <w:p w14:paraId="48BAD45C" w14:textId="77777777" w:rsidR="00A0693D" w:rsidRPr="00D355CA" w:rsidRDefault="00A0693D" w:rsidP="00CE15FA">
            <w:pPr>
              <w:jc w:val="center"/>
              <w:rPr>
                <w:rFonts w:asciiTheme="majorBidi" w:eastAsia="Calibri" w:hAnsiTheme="majorBidi" w:cs="B Nazanin"/>
                <w:b/>
                <w:bCs/>
                <w:sz w:val="20"/>
                <w:szCs w:val="20"/>
                <w:lang w:bidi="fa-IR"/>
              </w:rPr>
            </w:pPr>
          </w:p>
        </w:tc>
        <w:tc>
          <w:tcPr>
            <w:tcW w:w="1841" w:type="dxa"/>
            <w:tcBorders>
              <w:bottom w:val="single" w:sz="12" w:space="0" w:color="auto"/>
            </w:tcBorders>
            <w:vAlign w:val="center"/>
          </w:tcPr>
          <w:p w14:paraId="4271BC2B" w14:textId="77777777" w:rsidR="00A0693D" w:rsidRPr="00D355CA" w:rsidRDefault="00A0693D" w:rsidP="00CE15FA">
            <w:pPr>
              <w:jc w:val="center"/>
              <w:rPr>
                <w:rFonts w:asciiTheme="majorBidi" w:eastAsia="Calibri" w:hAnsiTheme="majorBidi" w:cs="B Nazanin"/>
                <w:b/>
                <w:bCs/>
                <w:sz w:val="20"/>
                <w:szCs w:val="20"/>
                <w:rtl/>
                <w:lang w:bidi="fa-IR"/>
              </w:rPr>
            </w:pPr>
            <w:r w:rsidRPr="00D355CA">
              <w:rPr>
                <w:rFonts w:asciiTheme="majorBidi" w:eastAsia="Calibri" w:hAnsiTheme="majorBidi" w:cs="B Nazanin"/>
                <w:b/>
                <w:bCs/>
                <w:sz w:val="20"/>
                <w:szCs w:val="20"/>
                <w:rtl/>
                <w:lang w:bidi="fa-IR"/>
              </w:rPr>
              <w:t>آزمون رتبه های علامت دار ویلکاکسون</w:t>
            </w:r>
          </w:p>
        </w:tc>
        <w:tc>
          <w:tcPr>
            <w:tcW w:w="1843" w:type="dxa"/>
            <w:tcBorders>
              <w:bottom w:val="single" w:sz="12" w:space="0" w:color="auto"/>
            </w:tcBorders>
            <w:vAlign w:val="center"/>
          </w:tcPr>
          <w:p w14:paraId="204C99EF" w14:textId="77777777" w:rsidR="00A0693D" w:rsidRPr="00D355CA" w:rsidRDefault="00A0693D" w:rsidP="00CE15FA">
            <w:pPr>
              <w:jc w:val="center"/>
              <w:rPr>
                <w:rFonts w:asciiTheme="majorBidi" w:eastAsia="Calibri" w:hAnsiTheme="majorBidi" w:cs="B Nazanin"/>
                <w:b/>
                <w:bCs/>
                <w:sz w:val="20"/>
                <w:szCs w:val="20"/>
                <w:lang w:bidi="fa-IR"/>
              </w:rPr>
            </w:pPr>
            <w:r w:rsidRPr="00D355CA">
              <w:rPr>
                <w:rFonts w:asciiTheme="majorBidi" w:eastAsia="Calibri" w:hAnsiTheme="majorBidi" w:cs="B Nazanin"/>
                <w:b/>
                <w:bCs/>
                <w:sz w:val="20"/>
                <w:szCs w:val="20"/>
                <w:rtl/>
                <w:lang w:bidi="fa-IR"/>
              </w:rPr>
              <w:t>001/0 &gt;</w:t>
            </w:r>
          </w:p>
        </w:tc>
        <w:tc>
          <w:tcPr>
            <w:tcW w:w="1843" w:type="dxa"/>
            <w:tcBorders>
              <w:bottom w:val="single" w:sz="12" w:space="0" w:color="auto"/>
            </w:tcBorders>
            <w:vAlign w:val="center"/>
          </w:tcPr>
          <w:p w14:paraId="35BA3746" w14:textId="77777777" w:rsidR="00A0693D" w:rsidRPr="00D355CA" w:rsidRDefault="00A0693D" w:rsidP="00CE15FA">
            <w:pPr>
              <w:jc w:val="center"/>
              <w:rPr>
                <w:rFonts w:asciiTheme="majorBidi" w:eastAsia="Calibri" w:hAnsiTheme="majorBidi" w:cs="B Nazanin"/>
                <w:b/>
                <w:bCs/>
                <w:sz w:val="20"/>
                <w:szCs w:val="20"/>
                <w:lang w:bidi="fa-IR"/>
              </w:rPr>
            </w:pPr>
            <w:r w:rsidRPr="00D355CA">
              <w:rPr>
                <w:rFonts w:asciiTheme="majorBidi" w:eastAsia="Calibri" w:hAnsiTheme="majorBidi" w:cs="B Nazanin"/>
                <w:b/>
                <w:bCs/>
                <w:sz w:val="20"/>
                <w:szCs w:val="20"/>
                <w:rtl/>
                <w:lang w:bidi="fa-IR"/>
              </w:rPr>
              <w:t>151/0</w:t>
            </w:r>
          </w:p>
        </w:tc>
        <w:tc>
          <w:tcPr>
            <w:tcW w:w="2404" w:type="dxa"/>
            <w:vMerge/>
            <w:tcBorders>
              <w:bottom w:val="single" w:sz="12" w:space="0" w:color="auto"/>
              <w:right w:val="single" w:sz="12" w:space="0" w:color="auto"/>
            </w:tcBorders>
            <w:vAlign w:val="center"/>
          </w:tcPr>
          <w:p w14:paraId="43E73CEA" w14:textId="77777777" w:rsidR="00A0693D" w:rsidRPr="00D355CA" w:rsidRDefault="00A0693D" w:rsidP="00CE15FA">
            <w:pPr>
              <w:jc w:val="center"/>
              <w:rPr>
                <w:rFonts w:asciiTheme="majorBidi" w:hAnsiTheme="majorBidi" w:cs="B Nazanin"/>
                <w:sz w:val="24"/>
                <w:szCs w:val="24"/>
              </w:rPr>
            </w:pPr>
          </w:p>
        </w:tc>
      </w:tr>
    </w:tbl>
    <w:p w14:paraId="73F1C800" w14:textId="3DEFCEC2" w:rsidR="00A0693D" w:rsidRPr="00D355CA" w:rsidRDefault="00A0693D" w:rsidP="00A0693D">
      <w:pPr>
        <w:bidi/>
        <w:jc w:val="both"/>
        <w:rPr>
          <w:rFonts w:asciiTheme="majorBidi" w:hAnsiTheme="majorBidi" w:cs="B Nazanin"/>
          <w:sz w:val="24"/>
          <w:szCs w:val="24"/>
          <w:rtl/>
        </w:rPr>
      </w:pPr>
    </w:p>
    <w:p w14:paraId="37F72C23" w14:textId="296BA3EC" w:rsidR="00BF7D61" w:rsidRPr="00D355CA" w:rsidRDefault="00BF7D61" w:rsidP="00CD4BA3">
      <w:pPr>
        <w:bidi/>
        <w:jc w:val="both"/>
        <w:rPr>
          <w:rFonts w:asciiTheme="majorBidi" w:hAnsiTheme="majorBidi" w:cs="B Nazanin"/>
          <w:sz w:val="24"/>
          <w:szCs w:val="24"/>
        </w:rPr>
      </w:pPr>
      <w:r w:rsidRPr="00D355CA">
        <w:rPr>
          <w:rFonts w:asciiTheme="majorBidi" w:hAnsiTheme="majorBidi" w:cs="B Nazanin"/>
          <w:sz w:val="24"/>
          <w:szCs w:val="24"/>
          <w:rtl/>
        </w:rPr>
        <w:t>شاخص دیگری که عمق تأثیر مداخله را نشان می‌دهد، محاسبه «میانگین تغییرات</w:t>
      </w:r>
      <w:r w:rsidRPr="00D355CA">
        <w:rPr>
          <w:rFonts w:asciiTheme="majorBidi" w:hAnsiTheme="majorBidi" w:cs="B Nazanin"/>
          <w:sz w:val="24"/>
          <w:szCs w:val="24"/>
        </w:rPr>
        <w:t xml:space="preserve">» (Difference Score) </w:t>
      </w:r>
      <w:r w:rsidRPr="00D355CA">
        <w:rPr>
          <w:rFonts w:asciiTheme="majorBidi" w:hAnsiTheme="majorBidi" w:cs="B Nazanin"/>
          <w:sz w:val="24"/>
          <w:szCs w:val="24"/>
          <w:rtl/>
        </w:rPr>
        <w:t xml:space="preserve">است. میانگین افزایش نمره آگاهی (اختلاف پس‌آزمون و پیش‌آزمون) در گروه مداخله </w:t>
      </w:r>
      <w:r w:rsidRPr="00D355CA">
        <w:rPr>
          <w:rFonts w:asciiTheme="majorBidi" w:hAnsiTheme="majorBidi" w:cs="B Nazanin"/>
          <w:sz w:val="24"/>
          <w:szCs w:val="24"/>
          <w:rtl/>
          <w:lang w:bidi="fa-IR"/>
        </w:rPr>
        <w:t>۶.۲۶ (</w:t>
      </w:r>
      <w:r w:rsidRPr="00D355CA">
        <w:rPr>
          <w:rFonts w:asciiTheme="majorBidi" w:hAnsiTheme="majorBidi" w:cs="B Nazanin"/>
          <w:sz w:val="24"/>
          <w:szCs w:val="24"/>
          <w:rtl/>
        </w:rPr>
        <w:t xml:space="preserve">انحراف معیار: </w:t>
      </w:r>
      <w:r w:rsidRPr="00D355CA">
        <w:rPr>
          <w:rFonts w:asciiTheme="majorBidi" w:hAnsiTheme="majorBidi" w:cs="B Nazanin"/>
          <w:sz w:val="24"/>
          <w:szCs w:val="24"/>
          <w:rtl/>
          <w:lang w:bidi="fa-IR"/>
        </w:rPr>
        <w:t xml:space="preserve">۴.۲۱) </w:t>
      </w:r>
      <w:r w:rsidRPr="00D355CA">
        <w:rPr>
          <w:rFonts w:asciiTheme="majorBidi" w:hAnsiTheme="majorBidi" w:cs="B Nazanin"/>
          <w:sz w:val="24"/>
          <w:szCs w:val="24"/>
          <w:rtl/>
        </w:rPr>
        <w:t xml:space="preserve">و در گروه کنترل تنها </w:t>
      </w:r>
      <w:r w:rsidRPr="00D355CA">
        <w:rPr>
          <w:rFonts w:asciiTheme="majorBidi" w:hAnsiTheme="majorBidi" w:cs="B Nazanin"/>
          <w:sz w:val="24"/>
          <w:szCs w:val="24"/>
          <w:rtl/>
          <w:lang w:bidi="fa-IR"/>
        </w:rPr>
        <w:t>۰.۴۵ (</w:t>
      </w:r>
      <w:r w:rsidRPr="00D355CA">
        <w:rPr>
          <w:rFonts w:asciiTheme="majorBidi" w:hAnsiTheme="majorBidi" w:cs="B Nazanin"/>
          <w:sz w:val="24"/>
          <w:szCs w:val="24"/>
          <w:rtl/>
        </w:rPr>
        <w:t xml:space="preserve">انحراف معیار: </w:t>
      </w:r>
      <w:r w:rsidRPr="00D355CA">
        <w:rPr>
          <w:rFonts w:asciiTheme="majorBidi" w:hAnsiTheme="majorBidi" w:cs="B Nazanin"/>
          <w:sz w:val="24"/>
          <w:szCs w:val="24"/>
          <w:rtl/>
          <w:lang w:bidi="fa-IR"/>
        </w:rPr>
        <w:t xml:space="preserve">۱.۸۷) </w:t>
      </w:r>
      <w:r w:rsidRPr="00D355CA">
        <w:rPr>
          <w:rFonts w:asciiTheme="majorBidi" w:hAnsiTheme="majorBidi" w:cs="B Nazanin"/>
          <w:sz w:val="24"/>
          <w:szCs w:val="24"/>
          <w:rtl/>
        </w:rPr>
        <w:t>به دست آمد. مقایسه این دو شاخص با آزمون من-ویتنی، تفاوت چشمگیر و معنادار بین میزان تغییرات ایجاد شده در دو گروه را آشکار ساخت</w:t>
      </w:r>
      <w:r w:rsidRPr="00D355CA">
        <w:rPr>
          <w:rFonts w:asciiTheme="majorBidi" w:hAnsiTheme="majorBidi" w:cs="B Nazanin"/>
          <w:sz w:val="24"/>
          <w:szCs w:val="24"/>
        </w:rPr>
        <w:t xml:space="preserve"> </w:t>
      </w:r>
      <w:r w:rsidR="0020289B" w:rsidRPr="00D355CA">
        <w:rPr>
          <w:rFonts w:asciiTheme="majorBidi" w:hAnsiTheme="majorBidi" w:cs="B Nazanin"/>
          <w:sz w:val="24"/>
          <w:szCs w:val="24"/>
          <w:rtl/>
          <w:lang w:bidi="fa-IR"/>
        </w:rPr>
        <w:t>(001/0 &gt;</w:t>
      </w:r>
      <w:r w:rsidR="0020289B" w:rsidRPr="00D355CA">
        <w:rPr>
          <w:rFonts w:asciiTheme="majorBidi" w:hAnsiTheme="majorBidi" w:cs="B Nazanin"/>
          <w:sz w:val="24"/>
          <w:szCs w:val="24"/>
          <w:lang w:bidi="fa-IR"/>
        </w:rPr>
        <w:t xml:space="preserve"> P</w:t>
      </w:r>
      <w:r w:rsidR="0020289B" w:rsidRPr="00D355CA">
        <w:rPr>
          <w:rFonts w:asciiTheme="majorBidi" w:hAnsiTheme="majorBidi" w:cs="B Nazanin"/>
          <w:sz w:val="24"/>
          <w:szCs w:val="24"/>
          <w:rtl/>
          <w:lang w:bidi="fa-IR"/>
        </w:rPr>
        <w:t xml:space="preserve">) . </w:t>
      </w:r>
      <w:r w:rsidRPr="00D355CA">
        <w:rPr>
          <w:rFonts w:asciiTheme="majorBidi" w:hAnsiTheme="majorBidi" w:cs="B Nazanin"/>
          <w:sz w:val="24"/>
          <w:szCs w:val="24"/>
          <w:rtl/>
        </w:rPr>
        <w:t>به بیان دیگر، مداخله آموزشی نه تنها منجر به بهبود مطلق آگاهی شده، بلکه مقدار این بهبود نیز به طور قابل توجهی بیشتر از تغییرات جزئی و غیرمعنادار گروه کنترل بوده است</w:t>
      </w:r>
      <w:r w:rsidRPr="00D355CA">
        <w:rPr>
          <w:rFonts w:asciiTheme="majorBidi" w:hAnsiTheme="majorBidi" w:cs="B Nazanin"/>
          <w:sz w:val="24"/>
          <w:szCs w:val="24"/>
        </w:rPr>
        <w:t>.</w:t>
      </w:r>
    </w:p>
    <w:p w14:paraId="5EB5F592" w14:textId="0B81EDCF" w:rsidR="00BF7D61" w:rsidRPr="00D355CA" w:rsidRDefault="00BF7D61" w:rsidP="00CD4BA3">
      <w:pPr>
        <w:bidi/>
        <w:jc w:val="both"/>
        <w:rPr>
          <w:rFonts w:asciiTheme="majorBidi" w:hAnsiTheme="majorBidi" w:cs="B Nazanin"/>
          <w:sz w:val="24"/>
          <w:szCs w:val="24"/>
        </w:rPr>
      </w:pPr>
      <w:r w:rsidRPr="00D355CA">
        <w:rPr>
          <w:rFonts w:asciiTheme="majorBidi" w:hAnsiTheme="majorBidi" w:cs="B Nazanin"/>
          <w:sz w:val="24"/>
          <w:szCs w:val="24"/>
          <w:rtl/>
        </w:rPr>
        <w:t>نتایج حاصل از مدل رگرسیون خطی ساده نیز نشان داد که متغیر گروه (عضویت در گروه مداخله یا کنترل) پیش‌بینیکننده قوی و معناداری برای نمره آگاهی پس از مداخله است</w:t>
      </w:r>
      <w:r w:rsidR="0020289B" w:rsidRPr="00D355CA">
        <w:rPr>
          <w:rFonts w:asciiTheme="majorBidi" w:hAnsiTheme="majorBidi" w:cs="B Nazanin"/>
          <w:sz w:val="24"/>
          <w:szCs w:val="24"/>
          <w:rtl/>
        </w:rPr>
        <w:t xml:space="preserve"> </w:t>
      </w:r>
      <w:r w:rsidR="0020289B" w:rsidRPr="00D355CA">
        <w:rPr>
          <w:rFonts w:asciiTheme="majorBidi" w:hAnsiTheme="majorBidi" w:cs="B Nazanin"/>
          <w:sz w:val="24"/>
          <w:szCs w:val="24"/>
          <w:rtl/>
          <w:lang w:bidi="fa-IR"/>
        </w:rPr>
        <w:t>(001/0 &gt;</w:t>
      </w:r>
      <w:r w:rsidR="0020289B" w:rsidRPr="00D355CA">
        <w:rPr>
          <w:rFonts w:asciiTheme="majorBidi" w:hAnsiTheme="majorBidi" w:cs="B Nazanin"/>
          <w:sz w:val="24"/>
          <w:szCs w:val="24"/>
          <w:lang w:bidi="fa-IR"/>
        </w:rPr>
        <w:t xml:space="preserve"> P</w:t>
      </w:r>
      <w:r w:rsidR="0020289B" w:rsidRPr="00D355CA">
        <w:rPr>
          <w:rFonts w:asciiTheme="majorBidi" w:hAnsiTheme="majorBidi" w:cs="B Nazanin"/>
          <w:sz w:val="24"/>
          <w:szCs w:val="24"/>
          <w:rtl/>
          <w:lang w:bidi="fa-IR"/>
        </w:rPr>
        <w:t>)</w:t>
      </w:r>
      <w:r w:rsidRPr="00D355CA">
        <w:rPr>
          <w:rFonts w:asciiTheme="majorBidi" w:hAnsiTheme="majorBidi" w:cs="B Nazanin"/>
          <w:sz w:val="24"/>
          <w:szCs w:val="24"/>
          <w:rtl/>
        </w:rPr>
        <w:t>، در حالی که هیچ‌یک از متغیرهای دموگرافیک و زمینه‌ای مورد بررسی (سن، تحصیلات والدین، وضعیت اقتصادی و ...) رابطه آماری معناداری با سطح آگاهی پس از مداخله نشان ندادند. این یافته نشان می‌دهد که بهبود مشاهده‌شده در آگاهی، عمدتاً مرتبط با دریافت مداخله آموزشی بوده و تحت تأثیر ویژگی‌های جمعیت‌شناختی شرکت‌کنندگان قرار نگرفته است. علاوه بر این، نمره آگاهی اولیه (پیش‌آزمون) نیز پیش‌بینیکننده مثبت و معناداری برای نمره آگاهی نهایی بود</w:t>
      </w:r>
      <w:r w:rsidRPr="00D355CA">
        <w:rPr>
          <w:rFonts w:asciiTheme="majorBidi" w:hAnsiTheme="majorBidi" w:cs="B Nazanin"/>
          <w:sz w:val="24"/>
          <w:szCs w:val="24"/>
        </w:rPr>
        <w:t xml:space="preserve"> </w:t>
      </w:r>
      <w:r w:rsidR="0020289B" w:rsidRPr="00D355CA">
        <w:rPr>
          <w:rFonts w:asciiTheme="majorBidi" w:hAnsiTheme="majorBidi" w:cs="B Nazanin"/>
          <w:sz w:val="24"/>
          <w:szCs w:val="24"/>
          <w:rtl/>
          <w:lang w:bidi="fa-IR"/>
        </w:rPr>
        <w:t>(001/0 &gt;</w:t>
      </w:r>
      <w:r w:rsidR="0020289B" w:rsidRPr="00D355CA">
        <w:rPr>
          <w:rFonts w:asciiTheme="majorBidi" w:hAnsiTheme="majorBidi" w:cs="B Nazanin"/>
          <w:sz w:val="24"/>
          <w:szCs w:val="24"/>
          <w:lang w:bidi="fa-IR"/>
        </w:rPr>
        <w:t xml:space="preserve"> P</w:t>
      </w:r>
      <w:r w:rsidR="0020289B" w:rsidRPr="00D355CA">
        <w:rPr>
          <w:rFonts w:asciiTheme="majorBidi" w:hAnsiTheme="majorBidi" w:cs="B Nazanin"/>
          <w:sz w:val="24"/>
          <w:szCs w:val="24"/>
          <w:rtl/>
          <w:lang w:bidi="fa-IR"/>
        </w:rPr>
        <w:t>)</w:t>
      </w:r>
      <w:r w:rsidRPr="00D355CA">
        <w:rPr>
          <w:rFonts w:asciiTheme="majorBidi" w:hAnsiTheme="majorBidi" w:cs="B Nazanin"/>
          <w:sz w:val="24"/>
          <w:szCs w:val="24"/>
          <w:rtl/>
        </w:rPr>
        <w:t>، که نشان می‌دهد سطح دانش پایه افراد می‌تواند در میزان بهره‌مندی آنان از برنامه‌های آموزشی مؤثر باشد</w:t>
      </w:r>
      <w:r w:rsidRPr="00D355CA">
        <w:rPr>
          <w:rFonts w:asciiTheme="majorBidi" w:hAnsiTheme="majorBidi" w:cs="B Nazanin"/>
          <w:sz w:val="24"/>
          <w:szCs w:val="24"/>
        </w:rPr>
        <w:t>.</w:t>
      </w:r>
    </w:p>
    <w:p w14:paraId="050FC846" w14:textId="77777777" w:rsidR="00F54456" w:rsidRPr="00D355CA" w:rsidRDefault="00F54456" w:rsidP="00CD4BA3">
      <w:pPr>
        <w:bidi/>
        <w:jc w:val="both"/>
        <w:rPr>
          <w:rFonts w:asciiTheme="majorBidi" w:hAnsiTheme="majorBidi" w:cs="B Nazanin"/>
          <w:b/>
          <w:bCs/>
          <w:sz w:val="24"/>
          <w:szCs w:val="24"/>
          <w:rtl/>
        </w:rPr>
      </w:pPr>
    </w:p>
    <w:p w14:paraId="0B308708" w14:textId="4CFF9BFB" w:rsidR="00497BEC" w:rsidRPr="00D355CA" w:rsidRDefault="00497BEC" w:rsidP="00F54456">
      <w:pPr>
        <w:bidi/>
        <w:jc w:val="both"/>
        <w:rPr>
          <w:rFonts w:asciiTheme="majorBidi" w:hAnsiTheme="majorBidi" w:cs="B Nazanin"/>
          <w:b/>
          <w:bCs/>
          <w:sz w:val="24"/>
          <w:szCs w:val="24"/>
        </w:rPr>
      </w:pPr>
      <w:r w:rsidRPr="00D355CA">
        <w:rPr>
          <w:rFonts w:asciiTheme="majorBidi" w:hAnsiTheme="majorBidi" w:cs="B Nazanin"/>
          <w:b/>
          <w:bCs/>
          <w:sz w:val="24"/>
          <w:szCs w:val="24"/>
          <w:rtl/>
        </w:rPr>
        <w:lastRenderedPageBreak/>
        <w:t>بحث</w:t>
      </w:r>
    </w:p>
    <w:p w14:paraId="55BD8683" w14:textId="77777777" w:rsidR="00497BEC" w:rsidRPr="00D355CA" w:rsidRDefault="00497BEC" w:rsidP="00CD4BA3">
      <w:pPr>
        <w:bidi/>
        <w:jc w:val="both"/>
        <w:rPr>
          <w:rFonts w:asciiTheme="majorBidi" w:hAnsiTheme="majorBidi" w:cs="B Nazanin"/>
          <w:sz w:val="24"/>
          <w:szCs w:val="24"/>
        </w:rPr>
      </w:pPr>
      <w:r w:rsidRPr="00D355CA">
        <w:rPr>
          <w:rFonts w:asciiTheme="majorBidi" w:hAnsiTheme="majorBidi" w:cs="B Nazanin"/>
          <w:sz w:val="24"/>
          <w:szCs w:val="24"/>
          <w:rtl/>
        </w:rPr>
        <w:t>یافته‌های این مطالعه نشان داد که مداخله آموزشی تلفیقی مبتنی بر سلامت معنوی به‌طور معناداری منجر به افزایش آگاهی دانشجویان دختر در مورد ویروس پاپیلومای انسانی و واکسیناسیون آن شده است. افزایش چشمگیر نمره آگاهی در گروه مداخله در مقایسه با گروه کنترل، همراه با معناداری درون‌گروهی و بین‌گروهی، مؤید اثربخشی این رویکرد نوین آموزشی است</w:t>
      </w:r>
      <w:r w:rsidRPr="00D355CA">
        <w:rPr>
          <w:rFonts w:asciiTheme="majorBidi" w:hAnsiTheme="majorBidi" w:cs="B Nazanin"/>
          <w:sz w:val="24"/>
          <w:szCs w:val="24"/>
        </w:rPr>
        <w:t>.</w:t>
      </w:r>
    </w:p>
    <w:p w14:paraId="03074EAF" w14:textId="357AA0AB" w:rsidR="00497BEC" w:rsidRPr="00D355CA" w:rsidRDefault="00497BEC" w:rsidP="00CD4BA3">
      <w:pPr>
        <w:bidi/>
        <w:jc w:val="both"/>
        <w:rPr>
          <w:rFonts w:asciiTheme="majorBidi" w:hAnsiTheme="majorBidi" w:cs="B Nazanin"/>
          <w:sz w:val="24"/>
          <w:szCs w:val="24"/>
        </w:rPr>
      </w:pPr>
      <w:r w:rsidRPr="00D355CA">
        <w:rPr>
          <w:rFonts w:asciiTheme="majorBidi" w:hAnsiTheme="majorBidi" w:cs="B Nazanin"/>
          <w:sz w:val="24"/>
          <w:szCs w:val="24"/>
          <w:rtl/>
        </w:rPr>
        <w:t>این نتایج با یافته‌های مطالعاتی که بر اهمیت بسته‌های آموزشی ترکیبی در ارتقای آگاهی سلامت تأکید دارند، همسو است. برای مثال، مطالعه طارونا و همکاران (2022) نشان داد که مداخلاتی که بعد معنوی را در آموزش سلامت ادغام می‌کنند، می‌توانند به‌طور مؤثری بر شاخص‌های سلامت روانی و رفتاری جوانان تأثیر بگذارند. شباهت کلیدی این مطالعه با پژوهش حاضر، در نقش تسهیل‌گرانه‌ای است که سلامت معنوی در درونی‌سازی مفاهیم سلامت و تقویت انگیزه برای رفتارهای پیشگیرانه ایفا می‌کند. به نظر می‌رسد هنگامی که اطلاعات بهداشتی در چارچوبی از معنا و ارزش‌های فردی ارائه می‌شود، قابلیت درک، پذیرش و به خاطر سپاری بیشتری پیدا می‌کند</w:t>
      </w:r>
      <w:r w:rsidRPr="00D355CA">
        <w:rPr>
          <w:rFonts w:asciiTheme="majorBidi" w:hAnsiTheme="majorBidi" w:cs="B Nazanin"/>
          <w:sz w:val="24"/>
          <w:szCs w:val="24"/>
        </w:rPr>
        <w:t>.</w:t>
      </w:r>
    </w:p>
    <w:p w14:paraId="376B131F" w14:textId="59044C22" w:rsidR="00497BEC" w:rsidRPr="00D355CA" w:rsidRDefault="00497BEC" w:rsidP="00CD4BA3">
      <w:pPr>
        <w:bidi/>
        <w:jc w:val="both"/>
        <w:rPr>
          <w:rFonts w:asciiTheme="majorBidi" w:hAnsiTheme="majorBidi" w:cs="B Nazanin"/>
          <w:sz w:val="24"/>
          <w:szCs w:val="24"/>
        </w:rPr>
      </w:pPr>
      <w:r w:rsidRPr="00D355CA">
        <w:rPr>
          <w:rFonts w:asciiTheme="majorBidi" w:hAnsiTheme="majorBidi" w:cs="B Nazanin"/>
          <w:sz w:val="24"/>
          <w:szCs w:val="24"/>
          <w:rtl/>
        </w:rPr>
        <w:t>همچنین، یافته این پژوهش با نتایج مطالعه دهقان و همکاران (2018) که ارتباط منفی معناداری بین سلامت معنوی و رفتارهای پرخطر جنسی را گزارش کردند، همخوانی دارد. اگرچه مطالعه دهقان ماهیتی همبستگی داشت و رابطه موجود را بررسی می‌کرد، اما نتیجه مشترک هر دو پژوهش، نقش محافظتی و تنظیم‌گرانه سلامت معنوی در سبک زندگی و رفتارهای بهداشتی است. پژوهش حاضر با اتخاذ یک رویکرد مداخله‌ای فعال، گامی فراتر نهاده و نشان می‌دهد که می‌توان با طراحی برنامه‌های آموزشی هدفمند، سطح این بعد سلامت را ارتقا داد و از ظرفیت آن برای افزایش آگاهی در حیطه‌های حساسی مانند سلامت جنسی بهره گرفت</w:t>
      </w:r>
      <w:r w:rsidRPr="00D355CA">
        <w:rPr>
          <w:rFonts w:asciiTheme="majorBidi" w:hAnsiTheme="majorBidi" w:cs="B Nazanin"/>
          <w:sz w:val="24"/>
          <w:szCs w:val="24"/>
        </w:rPr>
        <w:t>.</w:t>
      </w:r>
    </w:p>
    <w:p w14:paraId="44B83821" w14:textId="77777777" w:rsidR="00497BEC" w:rsidRPr="00D355CA" w:rsidRDefault="00497BEC" w:rsidP="00CD4BA3">
      <w:pPr>
        <w:bidi/>
        <w:jc w:val="both"/>
        <w:rPr>
          <w:rFonts w:asciiTheme="majorBidi" w:hAnsiTheme="majorBidi" w:cs="B Nazanin"/>
          <w:sz w:val="24"/>
          <w:szCs w:val="24"/>
        </w:rPr>
      </w:pPr>
      <w:r w:rsidRPr="00D355CA">
        <w:rPr>
          <w:rFonts w:asciiTheme="majorBidi" w:hAnsiTheme="majorBidi" w:cs="B Nazanin"/>
          <w:sz w:val="24"/>
          <w:szCs w:val="24"/>
          <w:rtl/>
        </w:rPr>
        <w:t>مکانیسم تأثیر این مداخله را می‌توان از چند منظر تبیین کرد. اولاً، ادغام آموزش</w:t>
      </w:r>
      <w:r w:rsidRPr="00D355CA">
        <w:rPr>
          <w:rFonts w:asciiTheme="majorBidi" w:hAnsiTheme="majorBidi" w:cs="B Nazanin"/>
          <w:sz w:val="24"/>
          <w:szCs w:val="24"/>
        </w:rPr>
        <w:t xml:space="preserve"> HPV </w:t>
      </w:r>
      <w:r w:rsidRPr="00D355CA">
        <w:rPr>
          <w:rFonts w:asciiTheme="majorBidi" w:hAnsiTheme="majorBidi" w:cs="B Nazanin"/>
          <w:sz w:val="24"/>
          <w:szCs w:val="24"/>
          <w:rtl/>
        </w:rPr>
        <w:t>با مفاهیم سلامت معنوی مانند خودآگاهی، مسئولیت‌پذیری در قبال بدن به عنوان "امانت"، و تقویت اراده از طریق تمرین‌های معنوی، ممکن است سبب شود موضوع واکسیناسیون از یک توصیه صرفاً پزشکی خارج شده و به یک تصمیم مبتنی بر ارزش و مراقبت از خود تبدیل شود. ثانیاً، فضای امن و غیرقضاوت‌گرای ایجاد شده در جلسات آموزشی که بر اساس اصول معنوی مانند احترام و همدلی بنا شده بود، احتمالاً باعث شد شرکت‌کنندگان با راحتی بیشتری در مورد موضوعات حساس مرتبط با سلامت جنسی سؤال کنند و اطلاعات را جذب نمایند. ثالثاً، تأکید بر ابعاد معنوی مانند "هدفمندی" و "نگاه کل‌نگر به سلامت" ممکن است نگرش بلندمدت‌تر و مسئولانه‌تری نسبت به پیشگیری در شرکت‌کنندگان ایجاد کرده باشد</w:t>
      </w:r>
      <w:r w:rsidRPr="00D355CA">
        <w:rPr>
          <w:rFonts w:asciiTheme="majorBidi" w:hAnsiTheme="majorBidi" w:cs="B Nazanin"/>
          <w:sz w:val="24"/>
          <w:szCs w:val="24"/>
        </w:rPr>
        <w:t>.</w:t>
      </w:r>
    </w:p>
    <w:p w14:paraId="517C7C4D" w14:textId="77777777" w:rsidR="00497BEC" w:rsidRPr="00D355CA" w:rsidRDefault="00497BEC" w:rsidP="00CD4BA3">
      <w:pPr>
        <w:bidi/>
        <w:jc w:val="both"/>
        <w:rPr>
          <w:rFonts w:asciiTheme="majorBidi" w:hAnsiTheme="majorBidi" w:cs="B Nazanin"/>
          <w:sz w:val="24"/>
          <w:szCs w:val="24"/>
        </w:rPr>
      </w:pPr>
      <w:r w:rsidRPr="00D355CA">
        <w:rPr>
          <w:rFonts w:asciiTheme="majorBidi" w:hAnsiTheme="majorBidi" w:cs="B Nazanin"/>
          <w:sz w:val="24"/>
          <w:szCs w:val="24"/>
          <w:rtl/>
        </w:rPr>
        <w:t>نکته حائز اهمیت در تحلیل نتایج، عدم تأثیر متغیرهای دموگرافیک و اجتماعی-اقتصادی بر میزان بهبود آگاهی است. این یافته حاکی از آن است که اثربخشی این مداخله آموزشی ممکن است مستقل از زمینه خاص فردی باشد و بتواند در میان گروه‌های مختلف دانشجویی با ویژگی‌های متفاوت، نتایج مثبت و مشابهی ایجاد کند. این موضوع، قابلیت تعمیم و اجرای گسترده‌تر چنین مداخلاتی را تقویت می‌کند</w:t>
      </w:r>
      <w:r w:rsidRPr="00D355CA">
        <w:rPr>
          <w:rFonts w:asciiTheme="majorBidi" w:hAnsiTheme="majorBidi" w:cs="B Nazanin"/>
          <w:sz w:val="24"/>
          <w:szCs w:val="24"/>
        </w:rPr>
        <w:t>.</w:t>
      </w:r>
    </w:p>
    <w:p w14:paraId="78BE27D3" w14:textId="5A8DFA54" w:rsidR="00497BEC" w:rsidRPr="00D355CA" w:rsidRDefault="00497BEC" w:rsidP="00CD4BA3">
      <w:pPr>
        <w:bidi/>
        <w:jc w:val="both"/>
        <w:rPr>
          <w:rFonts w:asciiTheme="majorBidi" w:hAnsiTheme="majorBidi" w:cs="B Nazanin"/>
          <w:sz w:val="24"/>
          <w:szCs w:val="24"/>
        </w:rPr>
      </w:pPr>
      <w:r w:rsidRPr="00D355CA">
        <w:rPr>
          <w:rFonts w:asciiTheme="majorBidi" w:hAnsiTheme="majorBidi" w:cs="B Nazanin"/>
          <w:sz w:val="24"/>
          <w:szCs w:val="24"/>
          <w:rtl/>
        </w:rPr>
        <w:t xml:space="preserve">با این حال، برای دستیابی به تصویر کامل‌تری از تأثیرات اینگونه مداخلات، توجه به چند محدودیت و ارائه پیشنهاد برای پژوهش‌های آتی ضروری است. اولاً، این مطالعه تنها بر سنجه آگاهی متمرکز بود و اگرچه آگاهی شرط لازم برای تغییر رفتار است، اما شرط کافی نیست. ارزیابی تأثیر مداخله بر نگرش، قصد رفتاری و در نهایت اقدام عملی به واکسیناسیون در مطالعات آتی ضروری است. ثانیاً، دوره پیگیری این مطالعه یک‌ماهه بود. برای اطمینان از ماندگاری اثرات آموزشی، انجام مطالعات طولی‌مدت با پیگیری‌های سه‌ماهه، </w:t>
      </w:r>
      <w:r w:rsidRPr="00D355CA">
        <w:rPr>
          <w:rFonts w:asciiTheme="majorBidi" w:hAnsiTheme="majorBidi" w:cs="B Nazanin"/>
          <w:sz w:val="24"/>
          <w:szCs w:val="24"/>
          <w:rtl/>
        </w:rPr>
        <w:lastRenderedPageBreak/>
        <w:t>شش‌ماهه و حتی یک‌ساله پیشنهاد می‌شود. ثالثاً، جامعه مورد مطالعه این پژوهش را دانشجویان علوم پزشکی تشکیل می‌دادند که ممکن است از نظر حساسیت به موضوعات سلامت و دسترسی به اطلاعات، با عموم جوانان تفاوت داشته باشند. بنابراین، تکرار این مطالعه در بین دانشجویان سایر رشته‌ها و نیز جوانان غیرمحصل می‌تواند به تعمیم‌پذیری بهتر نتایج بینجامد</w:t>
      </w:r>
      <w:r w:rsidRPr="00D355CA">
        <w:rPr>
          <w:rFonts w:asciiTheme="majorBidi" w:hAnsiTheme="majorBidi" w:cs="B Nazanin"/>
          <w:sz w:val="24"/>
          <w:szCs w:val="24"/>
        </w:rPr>
        <w:t>.</w:t>
      </w:r>
    </w:p>
    <w:p w14:paraId="579D80D1" w14:textId="14E98BDF" w:rsidR="00BF7D61" w:rsidRPr="00D355CA" w:rsidRDefault="00497BEC" w:rsidP="00CD4BA3">
      <w:pPr>
        <w:bidi/>
        <w:jc w:val="both"/>
        <w:rPr>
          <w:rFonts w:asciiTheme="majorBidi" w:hAnsiTheme="majorBidi" w:cs="B Nazanin"/>
          <w:sz w:val="24"/>
          <w:szCs w:val="24"/>
          <w:rtl/>
        </w:rPr>
      </w:pPr>
      <w:r w:rsidRPr="00D355CA">
        <w:rPr>
          <w:rFonts w:asciiTheme="majorBidi" w:hAnsiTheme="majorBidi" w:cs="B Nazanin"/>
          <w:sz w:val="24"/>
          <w:szCs w:val="24"/>
          <w:rtl/>
        </w:rPr>
        <w:t>در مجموع، یافته‌های این پژوهش از این ایده حمایت می‌کند که **ادغام علم و معنویت** در برنامه‌های آموزش سلامت می‌تواند یک راهبرد مؤثر و</w:t>
      </w:r>
      <w:r w:rsidRPr="00D355CA">
        <w:rPr>
          <w:rFonts w:asciiTheme="majorBidi" w:hAnsiTheme="majorBidi" w:cs="B Nazanin"/>
          <w:sz w:val="24"/>
          <w:szCs w:val="24"/>
        </w:rPr>
        <w:t xml:space="preserve"> culturally sensitive </w:t>
      </w:r>
      <w:r w:rsidRPr="00D355CA">
        <w:rPr>
          <w:rFonts w:asciiTheme="majorBidi" w:hAnsiTheme="majorBidi" w:cs="B Nazanin"/>
          <w:sz w:val="24"/>
          <w:szCs w:val="24"/>
          <w:rtl/>
        </w:rPr>
        <w:t>(حساس به فرهنگ) برای غلبه بر چالش‌های آموزشی در حیطه‌های حساسی مانند سلامت جنسی باشد. این رویکرد می‌تواند پلی بین شکاف احتمالی بین دانش علمی و باورهای ارزشی-فرهنگی افراد ایجاد کند و در نهایت منجر به ارتقای سواد سلامت و توانمندسازی جوانان در تصمیم‌گیری آگاهانه برای حفظ سلامت خود شود</w:t>
      </w:r>
      <w:r w:rsidRPr="00D355CA">
        <w:rPr>
          <w:rFonts w:asciiTheme="majorBidi" w:hAnsiTheme="majorBidi" w:cs="B Nazanin"/>
          <w:sz w:val="24"/>
          <w:szCs w:val="24"/>
        </w:rPr>
        <w:t>.</w:t>
      </w:r>
    </w:p>
    <w:p w14:paraId="5EA7A37B" w14:textId="62D5F7CF" w:rsidR="00F54456" w:rsidRPr="00D355CA" w:rsidRDefault="00F54456" w:rsidP="00F54456">
      <w:pPr>
        <w:bidi/>
        <w:jc w:val="both"/>
        <w:rPr>
          <w:rFonts w:asciiTheme="majorBidi" w:hAnsiTheme="majorBidi" w:cs="B Nazanin"/>
          <w:b/>
          <w:bCs/>
          <w:sz w:val="24"/>
          <w:szCs w:val="24"/>
          <w:rtl/>
        </w:rPr>
      </w:pPr>
      <w:r w:rsidRPr="00D355CA">
        <w:rPr>
          <w:rFonts w:asciiTheme="majorBidi" w:hAnsiTheme="majorBidi" w:cs="B Nazanin"/>
          <w:b/>
          <w:bCs/>
          <w:sz w:val="24"/>
          <w:szCs w:val="24"/>
          <w:rtl/>
        </w:rPr>
        <w:t>منابع</w:t>
      </w:r>
    </w:p>
    <w:p w14:paraId="1FE1BA5E"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2" w:name="_ENREF_1"/>
      <w:r w:rsidRPr="00D355CA">
        <w:rPr>
          <w:rFonts w:asciiTheme="majorBidi" w:hAnsiTheme="majorBidi" w:cs="B Nazanin"/>
          <w:sz w:val="20"/>
          <w:szCs w:val="20"/>
        </w:rPr>
        <w:t>1.</w:t>
      </w:r>
      <w:r w:rsidRPr="00D355CA">
        <w:rPr>
          <w:rFonts w:asciiTheme="majorBidi" w:hAnsiTheme="majorBidi" w:cs="B Nazanin"/>
          <w:sz w:val="20"/>
          <w:szCs w:val="20"/>
        </w:rPr>
        <w:tab/>
        <w:t>Saxena SK. Current perspectives in human papillomavirus. 2019.</w:t>
      </w:r>
      <w:bookmarkEnd w:id="2"/>
    </w:p>
    <w:p w14:paraId="31B77540"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3" w:name="_ENREF_2"/>
      <w:r w:rsidRPr="00D355CA">
        <w:rPr>
          <w:rFonts w:asciiTheme="majorBidi" w:hAnsiTheme="majorBidi" w:cs="B Nazanin"/>
          <w:sz w:val="20"/>
          <w:szCs w:val="20"/>
        </w:rPr>
        <w:t>2.</w:t>
      </w:r>
      <w:r w:rsidRPr="00D355CA">
        <w:rPr>
          <w:rFonts w:asciiTheme="majorBidi" w:hAnsiTheme="majorBidi" w:cs="B Nazanin"/>
          <w:sz w:val="20"/>
          <w:szCs w:val="20"/>
        </w:rPr>
        <w:tab/>
        <w:t>Dağ H, Dönmez S, Sezer H, Şendağ F, Sevil Ü, Saruhan A. The effects of two different teaching techniques on the knowledge level of nursing students about HPV: İki farklı öğretim tekniğinin hemşirelik öğrencilerinin HPV ile ilgili bilgi düzeylerine etkisinin incelenmesi. European Journal of Therapeutics. 2015;21(2):90-8.</w:t>
      </w:r>
      <w:bookmarkEnd w:id="3"/>
    </w:p>
    <w:p w14:paraId="6619EE91"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4" w:name="_ENREF_3"/>
      <w:r w:rsidRPr="00D355CA">
        <w:rPr>
          <w:rFonts w:asciiTheme="majorBidi" w:hAnsiTheme="majorBidi" w:cs="B Nazanin"/>
          <w:sz w:val="20"/>
          <w:szCs w:val="20"/>
        </w:rPr>
        <w:t>3.</w:t>
      </w:r>
      <w:r w:rsidRPr="00D355CA">
        <w:rPr>
          <w:rFonts w:asciiTheme="majorBidi" w:hAnsiTheme="majorBidi" w:cs="B Nazanin"/>
          <w:sz w:val="20"/>
          <w:szCs w:val="20"/>
        </w:rPr>
        <w:tab/>
        <w:t>Aryanian Z, Mohammadi M, Babazadeh A, Hatami P, Mohseni Afshar Z, Goodarzi A, et al. Knowledge and attitude of Iranian university students toward genital warts. Interdisciplinary Perspectives on Infectious Diseases. 2022;2022(1):6730476.</w:t>
      </w:r>
      <w:bookmarkEnd w:id="4"/>
    </w:p>
    <w:p w14:paraId="0BE2141C"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5" w:name="_ENREF_4"/>
      <w:r w:rsidRPr="00D355CA">
        <w:rPr>
          <w:rFonts w:asciiTheme="majorBidi" w:hAnsiTheme="majorBidi" w:cs="B Nazanin"/>
          <w:sz w:val="20"/>
          <w:szCs w:val="20"/>
        </w:rPr>
        <w:t>4.</w:t>
      </w:r>
      <w:r w:rsidRPr="00D355CA">
        <w:rPr>
          <w:rFonts w:asciiTheme="majorBidi" w:hAnsiTheme="majorBidi" w:cs="B Nazanin"/>
          <w:sz w:val="20"/>
          <w:szCs w:val="20"/>
        </w:rPr>
        <w:tab/>
        <w:t>Khorasanizadeh F, Hassanloo J, Khaksar N, Taheri SM, Marzaban M, Rashidi BH, et al. Epidemiology of cervical cancer and human papilloma virus infection among Iranian women—analyses of national data and systematic review of the literature. Gynecologic oncology. 2013;128(2):277-81.</w:t>
      </w:r>
      <w:bookmarkEnd w:id="5"/>
    </w:p>
    <w:p w14:paraId="7B2A2B11"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6" w:name="_ENREF_5"/>
      <w:r w:rsidRPr="00D355CA">
        <w:rPr>
          <w:rFonts w:asciiTheme="majorBidi" w:hAnsiTheme="majorBidi" w:cs="B Nazanin"/>
          <w:sz w:val="20"/>
          <w:szCs w:val="20"/>
        </w:rPr>
        <w:t>5.</w:t>
      </w:r>
      <w:r w:rsidRPr="00D355CA">
        <w:rPr>
          <w:rFonts w:asciiTheme="majorBidi" w:hAnsiTheme="majorBidi" w:cs="B Nazanin"/>
          <w:sz w:val="20"/>
          <w:szCs w:val="20"/>
        </w:rPr>
        <w:tab/>
        <w:t>Sabet F, Mosavat A, Ghezeldasht SA, Basharkhah S, Shamsian SAA, Abbasnia S, et al. Prevalence, genotypes and phylogenetic analysis of human papillomaviruses (HPV) in northeast Iran. International journal of infectious diseases. 2021;103:480-8.</w:t>
      </w:r>
      <w:bookmarkEnd w:id="6"/>
    </w:p>
    <w:p w14:paraId="1BC33486"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7" w:name="_ENREF_6"/>
      <w:r w:rsidRPr="00D355CA">
        <w:rPr>
          <w:rFonts w:asciiTheme="majorBidi" w:hAnsiTheme="majorBidi" w:cs="B Nazanin"/>
          <w:sz w:val="20"/>
          <w:szCs w:val="20"/>
        </w:rPr>
        <w:t>6.</w:t>
      </w:r>
      <w:r w:rsidRPr="00D355CA">
        <w:rPr>
          <w:rFonts w:asciiTheme="majorBidi" w:hAnsiTheme="majorBidi" w:cs="B Nazanin"/>
          <w:sz w:val="20"/>
          <w:szCs w:val="20"/>
        </w:rPr>
        <w:tab/>
        <w:t>Akbarzadeh-Jahromi M, Taheri N, Dashtdar B, Taheri N, Abiri F, Zare M. The Prevalence of Human Papilloma Virus Infection and Its High Risk Genotypes among Healthy Women in 28 Provinces in Iran; A Systematic Review and Meta-Analysis. Journal of Biostatistics and Epidemiology. 2023.</w:t>
      </w:r>
      <w:bookmarkEnd w:id="7"/>
    </w:p>
    <w:p w14:paraId="2AC2AA35"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8" w:name="_ENREF_7"/>
      <w:r w:rsidRPr="00D355CA">
        <w:rPr>
          <w:rFonts w:asciiTheme="majorBidi" w:hAnsiTheme="majorBidi" w:cs="B Nazanin"/>
          <w:sz w:val="20"/>
          <w:szCs w:val="20"/>
        </w:rPr>
        <w:t>7.</w:t>
      </w:r>
      <w:r w:rsidRPr="00D355CA">
        <w:rPr>
          <w:rFonts w:asciiTheme="majorBidi" w:hAnsiTheme="majorBidi" w:cs="B Nazanin"/>
          <w:sz w:val="20"/>
          <w:szCs w:val="20"/>
        </w:rPr>
        <w:tab/>
        <w:t>Taebi M, Riazi H, Keshavarz Z, Afrakhteh M. Knowledge and attitude toward human papillomavirus and HPV vaccination in Iranian population: a systematic review. Asian Pacific journal of cancer prevention: APJCP. 2019;20(7):1945.</w:t>
      </w:r>
      <w:bookmarkEnd w:id="8"/>
    </w:p>
    <w:p w14:paraId="09088F92"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9" w:name="_ENREF_8"/>
      <w:r w:rsidRPr="00D355CA">
        <w:rPr>
          <w:rFonts w:asciiTheme="majorBidi" w:hAnsiTheme="majorBidi" w:cs="B Nazanin"/>
          <w:sz w:val="20"/>
          <w:szCs w:val="20"/>
        </w:rPr>
        <w:t>8.</w:t>
      </w:r>
      <w:r w:rsidRPr="00D355CA">
        <w:rPr>
          <w:rFonts w:asciiTheme="majorBidi" w:hAnsiTheme="majorBidi" w:cs="B Nazanin"/>
          <w:sz w:val="20"/>
          <w:szCs w:val="20"/>
        </w:rPr>
        <w:tab/>
        <w:t>Nematollahi S, Abdoli M, Aliakbari F, Sheikh-Milani A, Abbasi-Fashami M, Hosseini M. An Overview of Research in the Field of Human Papilloma Virus (HPV) in Iran: a Systematic Review. Men's Health Journal. 2019;3(1):e20-e.</w:t>
      </w:r>
      <w:bookmarkEnd w:id="9"/>
    </w:p>
    <w:p w14:paraId="28787F20"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10" w:name="_ENREF_9"/>
      <w:r w:rsidRPr="00D355CA">
        <w:rPr>
          <w:rFonts w:asciiTheme="majorBidi" w:hAnsiTheme="majorBidi" w:cs="B Nazanin"/>
          <w:sz w:val="20"/>
          <w:szCs w:val="20"/>
        </w:rPr>
        <w:t>9.</w:t>
      </w:r>
      <w:r w:rsidRPr="00D355CA">
        <w:rPr>
          <w:rFonts w:asciiTheme="majorBidi" w:hAnsiTheme="majorBidi" w:cs="B Nazanin"/>
          <w:sz w:val="20"/>
          <w:szCs w:val="20"/>
        </w:rPr>
        <w:tab/>
        <w:t>Hamzehgardashi Z, Keshavarz Z, Fakhri M, Nasiri M, Hoseinnezhad SZ, Shasti L. A Systematic Review on Interventions Affecting Parents' Knowledge and Attitudes about HPV Vaccine. Tabari Biomedical Student Research Journal. 2022;4(4):36-47.</w:t>
      </w:r>
      <w:bookmarkEnd w:id="10"/>
    </w:p>
    <w:p w14:paraId="31B1B31C"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11" w:name="_ENREF_10"/>
      <w:r w:rsidRPr="00D355CA">
        <w:rPr>
          <w:rFonts w:asciiTheme="majorBidi" w:hAnsiTheme="majorBidi" w:cs="B Nazanin"/>
          <w:sz w:val="20"/>
          <w:szCs w:val="20"/>
        </w:rPr>
        <w:t>10.</w:t>
      </w:r>
      <w:r w:rsidRPr="00D355CA">
        <w:rPr>
          <w:rFonts w:asciiTheme="majorBidi" w:hAnsiTheme="majorBidi" w:cs="B Nazanin"/>
          <w:sz w:val="20"/>
          <w:szCs w:val="20"/>
        </w:rPr>
        <w:tab/>
        <w:t>Aghaeipour F, Salehiniya H, Abbaszadeh H. Prevalence of human papillomavirus (HPV) in oral mucosal lesions in Iran: A systematic review and meta‐analysis. Journal of Medical Virology. 2021;93(11):6089-99.</w:t>
      </w:r>
      <w:bookmarkEnd w:id="11"/>
    </w:p>
    <w:p w14:paraId="093113C4"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12" w:name="_ENREF_11"/>
      <w:r w:rsidRPr="00D355CA">
        <w:rPr>
          <w:rFonts w:asciiTheme="majorBidi" w:hAnsiTheme="majorBidi" w:cs="B Nazanin"/>
          <w:sz w:val="20"/>
          <w:szCs w:val="20"/>
        </w:rPr>
        <w:t>11.</w:t>
      </w:r>
      <w:r w:rsidRPr="00D355CA">
        <w:rPr>
          <w:rFonts w:asciiTheme="majorBidi" w:hAnsiTheme="majorBidi" w:cs="B Nazanin"/>
          <w:sz w:val="20"/>
          <w:szCs w:val="20"/>
        </w:rPr>
        <w:tab/>
        <w:t>Baher MK, Moscowchi A, Atarbashi-Moghadam S. Prevalence of oral HPV in healthy and lesion-bearing populations in Iran: a systematic review and meta-analysis. BMC Oral Health. 2025;25(1):1-18.</w:t>
      </w:r>
      <w:bookmarkEnd w:id="12"/>
    </w:p>
    <w:p w14:paraId="3ACFEA78"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13" w:name="_ENREF_12"/>
      <w:r w:rsidRPr="00D355CA">
        <w:rPr>
          <w:rFonts w:asciiTheme="majorBidi" w:hAnsiTheme="majorBidi" w:cs="B Nazanin"/>
          <w:sz w:val="20"/>
          <w:szCs w:val="20"/>
        </w:rPr>
        <w:t>12.</w:t>
      </w:r>
      <w:r w:rsidRPr="00D355CA">
        <w:rPr>
          <w:rFonts w:asciiTheme="majorBidi" w:hAnsiTheme="majorBidi" w:cs="B Nazanin"/>
          <w:sz w:val="20"/>
          <w:szCs w:val="20"/>
        </w:rPr>
        <w:tab/>
        <w:t>Dadashi M, Vaezjalali M, Fallah F, Goudarzi H, Nasiri MJ, Owlia P, et al. Epidemiology of human papillomavirus (HPV) infection among Iranian women identified with cervical infections: a systematic review and meta-analysis of national data. Infection Epidemiology and Microbiology. 2017;3(2):68-72.</w:t>
      </w:r>
      <w:bookmarkEnd w:id="13"/>
    </w:p>
    <w:p w14:paraId="5562D423"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14" w:name="_ENREF_13"/>
      <w:r w:rsidRPr="00D355CA">
        <w:rPr>
          <w:rFonts w:asciiTheme="majorBidi" w:hAnsiTheme="majorBidi" w:cs="B Nazanin"/>
          <w:sz w:val="20"/>
          <w:szCs w:val="20"/>
        </w:rPr>
        <w:lastRenderedPageBreak/>
        <w:t>13.</w:t>
      </w:r>
      <w:r w:rsidRPr="00D355CA">
        <w:rPr>
          <w:rFonts w:asciiTheme="majorBidi" w:hAnsiTheme="majorBidi" w:cs="B Nazanin"/>
          <w:sz w:val="20"/>
          <w:szCs w:val="20"/>
        </w:rPr>
        <w:tab/>
        <w:t>Malary M, Moosazadeh M, Hamzehgardeshi Z, Afshari M, Moghaddasifar I, Afsharimoghaddam A. The prevalence of cervical human papillomavirus infection and the most at-risk genotypes among Iranian healthy women: A systematic review and meta-analysis. International journal of preventive medicine. 2016;7(1):70.</w:t>
      </w:r>
      <w:bookmarkEnd w:id="14"/>
    </w:p>
    <w:p w14:paraId="4B7114B0"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15" w:name="_ENREF_14"/>
      <w:r w:rsidRPr="00D355CA">
        <w:rPr>
          <w:rFonts w:asciiTheme="majorBidi" w:hAnsiTheme="majorBidi" w:cs="B Nazanin"/>
          <w:sz w:val="20"/>
          <w:szCs w:val="20"/>
        </w:rPr>
        <w:t>14.</w:t>
      </w:r>
      <w:r w:rsidRPr="00D355CA">
        <w:rPr>
          <w:rFonts w:asciiTheme="majorBidi" w:hAnsiTheme="majorBidi" w:cs="B Nazanin"/>
          <w:sz w:val="20"/>
          <w:szCs w:val="20"/>
        </w:rPr>
        <w:tab/>
        <w:t>Pourmohsen M, Simbar M, Nahidi F, Fakor F, Majd HA. HPV Risk Factors and Prevention Behaviours: A Review. Journal of Clinical &amp; Diagnostic Research. 2018;12(12).</w:t>
      </w:r>
      <w:bookmarkEnd w:id="15"/>
    </w:p>
    <w:p w14:paraId="4C3372D6"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16" w:name="_ENREF_15"/>
      <w:r w:rsidRPr="00D355CA">
        <w:rPr>
          <w:rFonts w:asciiTheme="majorBidi" w:hAnsiTheme="majorBidi" w:cs="B Nazanin"/>
          <w:sz w:val="20"/>
          <w:szCs w:val="20"/>
        </w:rPr>
        <w:t>15.</w:t>
      </w:r>
      <w:r w:rsidRPr="00D355CA">
        <w:rPr>
          <w:rFonts w:asciiTheme="majorBidi" w:hAnsiTheme="majorBidi" w:cs="B Nazanin"/>
          <w:sz w:val="20"/>
          <w:szCs w:val="20"/>
        </w:rPr>
        <w:tab/>
        <w:t>Mohammadi S, Rabiei Z, Pajohideh ZS, Barati Z, Talebi SS, Keramat A. Evaluating the health belief model constructs in adopting the hpv preventive behavior. Journal of Family &amp; Reproductive Health. 2023;17(1):37.</w:t>
      </w:r>
      <w:bookmarkEnd w:id="16"/>
    </w:p>
    <w:p w14:paraId="6CC95FD8"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17" w:name="_ENREF_16"/>
      <w:r w:rsidRPr="00D355CA">
        <w:rPr>
          <w:rFonts w:asciiTheme="majorBidi" w:hAnsiTheme="majorBidi" w:cs="B Nazanin"/>
          <w:sz w:val="20"/>
          <w:szCs w:val="20"/>
        </w:rPr>
        <w:t>16.</w:t>
      </w:r>
      <w:r w:rsidRPr="00D355CA">
        <w:rPr>
          <w:rFonts w:asciiTheme="majorBidi" w:hAnsiTheme="majorBidi" w:cs="B Nazanin"/>
          <w:sz w:val="20"/>
          <w:szCs w:val="20"/>
        </w:rPr>
        <w:tab/>
        <w:t>Shapiro GK. HPV vaccination: an underused strategy for the prevention of cancer. Current Oncology. 2022;29(5):3780-92.</w:t>
      </w:r>
      <w:bookmarkEnd w:id="17"/>
    </w:p>
    <w:p w14:paraId="046ED516"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18" w:name="_ENREF_17"/>
      <w:r w:rsidRPr="00D355CA">
        <w:rPr>
          <w:rFonts w:asciiTheme="majorBidi" w:hAnsiTheme="majorBidi" w:cs="B Nazanin"/>
          <w:sz w:val="20"/>
          <w:szCs w:val="20"/>
        </w:rPr>
        <w:t>17.</w:t>
      </w:r>
      <w:r w:rsidRPr="00D355CA">
        <w:rPr>
          <w:rFonts w:asciiTheme="majorBidi" w:hAnsiTheme="majorBidi" w:cs="B Nazanin"/>
          <w:sz w:val="20"/>
          <w:szCs w:val="20"/>
        </w:rPr>
        <w:tab/>
        <w:t>Pirmoradi Z, Nazari K, Shafiee N, Nikoukar N, Minoo S, Ghasemi H, et al. Oral cancer and HPV. Asian Pacific Journal of Cancer Biology. 2024;9(1):87-95.</w:t>
      </w:r>
      <w:bookmarkEnd w:id="18"/>
    </w:p>
    <w:p w14:paraId="2AF16AF6"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19" w:name="_ENREF_18"/>
      <w:r w:rsidRPr="00D355CA">
        <w:rPr>
          <w:rFonts w:asciiTheme="majorBidi" w:hAnsiTheme="majorBidi" w:cs="B Nazanin"/>
          <w:sz w:val="20"/>
          <w:szCs w:val="20"/>
        </w:rPr>
        <w:t>18.</w:t>
      </w:r>
      <w:r w:rsidRPr="00D355CA">
        <w:rPr>
          <w:rFonts w:asciiTheme="majorBidi" w:hAnsiTheme="majorBidi" w:cs="B Nazanin"/>
          <w:sz w:val="20"/>
          <w:szCs w:val="20"/>
        </w:rPr>
        <w:tab/>
        <w:t>Granja AdN, Lima ABR, Martins PVB, Salgado BJL, Costa RMGd, Brito HO, et al. HPV and coronary diseases in menopausal women: an integrative review. Revista Brasileira de Ginecologia e Obstetrícia. 2024;46:e-rbgo57.</w:t>
      </w:r>
      <w:bookmarkEnd w:id="19"/>
    </w:p>
    <w:p w14:paraId="0AA11B2A"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20" w:name="_ENREF_19"/>
      <w:r w:rsidRPr="00D355CA">
        <w:rPr>
          <w:rFonts w:asciiTheme="majorBidi" w:hAnsiTheme="majorBidi" w:cs="B Nazanin"/>
          <w:sz w:val="20"/>
          <w:szCs w:val="20"/>
        </w:rPr>
        <w:t>19.</w:t>
      </w:r>
      <w:r w:rsidRPr="00D355CA">
        <w:rPr>
          <w:rFonts w:asciiTheme="majorBidi" w:hAnsiTheme="majorBidi" w:cs="B Nazanin"/>
          <w:sz w:val="20"/>
          <w:szCs w:val="20"/>
        </w:rPr>
        <w:tab/>
        <w:t>Condrat CE, Filip L, Gherghe M, Cretoiu D, Suciu N. Maternal HPV infection: effects on pregnancy outcome. Viruses. 2021;13(12):2455.</w:t>
      </w:r>
      <w:bookmarkEnd w:id="20"/>
    </w:p>
    <w:p w14:paraId="619BCBC9" w14:textId="77777777" w:rsidR="00453C9A" w:rsidRPr="00D355CA" w:rsidRDefault="00453C9A" w:rsidP="00453C9A">
      <w:pPr>
        <w:pStyle w:val="EndNoteBibliography"/>
        <w:tabs>
          <w:tab w:val="right" w:pos="284"/>
        </w:tabs>
        <w:bidi w:val="0"/>
        <w:spacing w:after="120"/>
        <w:jc w:val="both"/>
        <w:rPr>
          <w:rFonts w:asciiTheme="majorBidi" w:hAnsiTheme="majorBidi" w:cs="B Nazanin"/>
          <w:sz w:val="20"/>
          <w:szCs w:val="20"/>
        </w:rPr>
      </w:pPr>
      <w:bookmarkStart w:id="21" w:name="_ENREF_20"/>
      <w:r w:rsidRPr="00D355CA">
        <w:rPr>
          <w:rFonts w:asciiTheme="majorBidi" w:hAnsiTheme="majorBidi" w:cs="B Nazanin"/>
          <w:sz w:val="20"/>
          <w:szCs w:val="20"/>
        </w:rPr>
        <w:t>20.</w:t>
      </w:r>
      <w:r w:rsidRPr="00D355CA">
        <w:rPr>
          <w:rFonts w:asciiTheme="majorBidi" w:hAnsiTheme="majorBidi" w:cs="B Nazanin"/>
          <w:sz w:val="20"/>
          <w:szCs w:val="20"/>
        </w:rPr>
        <w:tab/>
        <w:t>Popescu SD, Boiangiu AG, Sima R-M, Bilteanu L, Vladareanu S, Vladareanu R. Maternal HPV infection and the estimated risks for adverse pregnancy outcomes—a systematic review. Diagnostics. 2022;12(6):1471.</w:t>
      </w:r>
      <w:bookmarkEnd w:id="21"/>
    </w:p>
    <w:p w14:paraId="4590A281" w14:textId="77777777" w:rsidR="00F54456" w:rsidRPr="00D355CA" w:rsidRDefault="00F54456" w:rsidP="00453C9A">
      <w:pPr>
        <w:jc w:val="both"/>
        <w:rPr>
          <w:rFonts w:asciiTheme="majorBidi" w:hAnsiTheme="majorBidi" w:cs="B Nazanin"/>
          <w:b/>
          <w:bCs/>
          <w:sz w:val="20"/>
          <w:szCs w:val="20"/>
        </w:rPr>
      </w:pPr>
    </w:p>
    <w:sectPr w:rsidR="00F54456" w:rsidRPr="00D355CA" w:rsidSect="00E11E6F">
      <w:headerReference w:type="default" r:id="rId6"/>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B40E8" w14:textId="77777777" w:rsidR="00054C44" w:rsidRDefault="00054C44" w:rsidP="00705B5A">
      <w:pPr>
        <w:spacing w:after="0" w:line="240" w:lineRule="auto"/>
      </w:pPr>
      <w:r>
        <w:separator/>
      </w:r>
    </w:p>
  </w:endnote>
  <w:endnote w:type="continuationSeparator" w:id="0">
    <w:p w14:paraId="4A47D560" w14:textId="77777777" w:rsidR="00054C44" w:rsidRDefault="00054C44" w:rsidP="00705B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41A83" w14:textId="77777777" w:rsidR="00054C44" w:rsidRDefault="00054C44" w:rsidP="00705B5A">
      <w:pPr>
        <w:spacing w:after="0" w:line="240" w:lineRule="auto"/>
      </w:pPr>
      <w:r>
        <w:separator/>
      </w:r>
    </w:p>
  </w:footnote>
  <w:footnote w:type="continuationSeparator" w:id="0">
    <w:p w14:paraId="65E9AE13" w14:textId="77777777" w:rsidR="00054C44" w:rsidRDefault="00054C44" w:rsidP="00705B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AC463" w14:textId="0877640B" w:rsidR="00705B5A" w:rsidRDefault="00705B5A" w:rsidP="00705B5A">
    <w:pPr>
      <w:pStyle w:val="Header"/>
      <w:jc w:val="right"/>
    </w:pPr>
    <w:r>
      <w:rPr>
        <w:noProof/>
      </w:rPr>
      <w:drawing>
        <wp:anchor distT="0" distB="0" distL="114300" distR="114300" simplePos="0" relativeHeight="251658240" behindDoc="0" locked="0" layoutInCell="1" allowOverlap="1" wp14:anchorId="6745AE12" wp14:editId="5CEEA8CE">
          <wp:simplePos x="0" y="0"/>
          <wp:positionH relativeFrom="column">
            <wp:posOffset>2157046</wp:posOffset>
          </wp:positionH>
          <wp:positionV relativeFrom="paragraph">
            <wp:posOffset>-357554</wp:posOffset>
          </wp:positionV>
          <wp:extent cx="4685902" cy="779145"/>
          <wp:effectExtent l="0" t="0" r="635"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4686522" cy="779248"/>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1B9"/>
    <w:rsid w:val="00054C44"/>
    <w:rsid w:val="00110547"/>
    <w:rsid w:val="0020289B"/>
    <w:rsid w:val="0025292A"/>
    <w:rsid w:val="002E36B5"/>
    <w:rsid w:val="00453C9A"/>
    <w:rsid w:val="00497BEC"/>
    <w:rsid w:val="004A6970"/>
    <w:rsid w:val="004D1919"/>
    <w:rsid w:val="004F1431"/>
    <w:rsid w:val="004F5D2F"/>
    <w:rsid w:val="00636C04"/>
    <w:rsid w:val="006E1A79"/>
    <w:rsid w:val="00705B5A"/>
    <w:rsid w:val="007701B9"/>
    <w:rsid w:val="007F51F9"/>
    <w:rsid w:val="008E5C28"/>
    <w:rsid w:val="00A0693D"/>
    <w:rsid w:val="00A35FF9"/>
    <w:rsid w:val="00BF7D61"/>
    <w:rsid w:val="00CD4BA3"/>
    <w:rsid w:val="00D238C5"/>
    <w:rsid w:val="00D355CA"/>
    <w:rsid w:val="00D86C9B"/>
    <w:rsid w:val="00E11E6F"/>
    <w:rsid w:val="00F10045"/>
    <w:rsid w:val="00F54456"/>
    <w:rsid w:val="00F572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771491"/>
  <w15:chartTrackingRefBased/>
  <w15:docId w15:val="{E5528F21-3DA0-4850-9DD6-1773FB872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5">
    <w:name w:val="Table Grid35"/>
    <w:basedOn w:val="TableNormal"/>
    <w:next w:val="TableGrid"/>
    <w:uiPriority w:val="39"/>
    <w:rsid w:val="00A069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جدول ها"/>
    <w:basedOn w:val="Normal"/>
    <w:link w:val="Char"/>
    <w:autoRedefine/>
    <w:qFormat/>
    <w:rsid w:val="00A0693D"/>
    <w:pPr>
      <w:bidi/>
      <w:spacing w:after="120" w:line="276" w:lineRule="auto"/>
      <w:jc w:val="center"/>
    </w:pPr>
    <w:rPr>
      <w:rFonts w:ascii="Times New Roman" w:eastAsia="Calibri" w:hAnsi="Times New Roman" w:cs="B Nazanin"/>
      <w:b/>
      <w:bCs/>
      <w:sz w:val="20"/>
      <w:szCs w:val="20"/>
      <w:lang w:bidi="fa-IR"/>
    </w:rPr>
  </w:style>
  <w:style w:type="character" w:customStyle="1" w:styleId="Char">
    <w:name w:val="جدول ها Char"/>
    <w:link w:val="a"/>
    <w:rsid w:val="00A0693D"/>
    <w:rPr>
      <w:rFonts w:ascii="Times New Roman" w:eastAsia="Calibri" w:hAnsi="Times New Roman" w:cs="B Nazanin"/>
      <w:b/>
      <w:bCs/>
      <w:sz w:val="20"/>
      <w:szCs w:val="20"/>
      <w:lang w:bidi="fa-IR"/>
    </w:rPr>
  </w:style>
  <w:style w:type="table" w:styleId="TableGrid">
    <w:name w:val="Table Grid"/>
    <w:basedOn w:val="TableNormal"/>
    <w:uiPriority w:val="39"/>
    <w:rsid w:val="00A069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
    <w:name w:val="EndNote Bibliography"/>
    <w:basedOn w:val="Normal"/>
    <w:link w:val="EndNoteBibliographyChar"/>
    <w:rsid w:val="00453C9A"/>
    <w:pPr>
      <w:bidi/>
      <w:spacing w:after="200" w:line="240" w:lineRule="auto"/>
    </w:pPr>
    <w:rPr>
      <w:rFonts w:ascii="Calibri" w:hAnsi="Calibri" w:cs="Calibri"/>
      <w:noProof/>
      <w:lang w:bidi="fa-IR"/>
    </w:rPr>
  </w:style>
  <w:style w:type="character" w:customStyle="1" w:styleId="EndNoteBibliographyChar">
    <w:name w:val="EndNote Bibliography Char"/>
    <w:basedOn w:val="DefaultParagraphFont"/>
    <w:link w:val="EndNoteBibliography"/>
    <w:rsid w:val="00453C9A"/>
    <w:rPr>
      <w:rFonts w:ascii="Calibri" w:hAnsi="Calibri" w:cs="Calibri"/>
      <w:noProof/>
      <w:lang w:bidi="fa-IR"/>
    </w:rPr>
  </w:style>
  <w:style w:type="paragraph" w:styleId="Header">
    <w:name w:val="header"/>
    <w:basedOn w:val="Normal"/>
    <w:link w:val="HeaderChar"/>
    <w:uiPriority w:val="99"/>
    <w:unhideWhenUsed/>
    <w:rsid w:val="00705B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5B5A"/>
  </w:style>
  <w:style w:type="paragraph" w:styleId="Footer">
    <w:name w:val="footer"/>
    <w:basedOn w:val="Normal"/>
    <w:link w:val="FooterChar"/>
    <w:uiPriority w:val="99"/>
    <w:unhideWhenUsed/>
    <w:rsid w:val="00705B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7</Pages>
  <Words>2761</Words>
  <Characters>15742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HaGh</dc:creator>
  <cp:keywords/>
  <dc:description/>
  <cp:lastModifiedBy>HaGh</cp:lastModifiedBy>
  <cp:revision>18</cp:revision>
  <dcterms:created xsi:type="dcterms:W3CDTF">2025-12-12T07:39:00Z</dcterms:created>
  <dcterms:modified xsi:type="dcterms:W3CDTF">2025-12-12T20:13:00Z</dcterms:modified>
</cp:coreProperties>
</file>