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0EBA4AF" w14:textId="25FF57FA" w:rsidR="00706675" w:rsidRDefault="00706675"/>
    <w:p w14:paraId="15D84BC6" w14:textId="77777777" w:rsidR="00F52217" w:rsidRDefault="00F52217"/>
    <w:p w14:paraId="12DCF5E9" w14:textId="77777777" w:rsidR="008A5854" w:rsidRDefault="008A5854"/>
    <w:p w14:paraId="191BA2C2" w14:textId="77777777" w:rsidR="00706675" w:rsidRDefault="00706675" w:rsidP="006B4CF5">
      <w:pPr>
        <w:jc w:val="center"/>
        <w:rPr>
          <w:rFonts w:asciiTheme="majorBidi" w:hAnsiTheme="majorBidi" w:cstheme="majorBidi"/>
          <w:sz w:val="28"/>
          <w:szCs w:val="28"/>
        </w:rPr>
      </w:pPr>
    </w:p>
    <w:p w14:paraId="25DFABBF" w14:textId="529429FD" w:rsidR="00F52217" w:rsidRPr="00F13D60" w:rsidRDefault="00F5614E" w:rsidP="006B4CF5">
      <w:pPr>
        <w:jc w:val="center"/>
        <w:rPr>
          <w:rFonts w:asciiTheme="majorBidi" w:hAnsiTheme="majorBidi" w:cstheme="majorBidi"/>
          <w:b/>
          <w:bCs/>
          <w:sz w:val="24"/>
          <w:szCs w:val="24"/>
        </w:rPr>
      </w:pPr>
      <w:r w:rsidRPr="00F13D60">
        <w:rPr>
          <w:rFonts w:asciiTheme="majorBidi" w:hAnsiTheme="majorBidi" w:cstheme="majorBidi"/>
          <w:b/>
          <w:bCs/>
          <w:sz w:val="24"/>
          <w:szCs w:val="24"/>
        </w:rPr>
        <w:t>The Effectiveness of Tele-Nursing in Promoting Independence and Self-Esteem among Older Adults</w:t>
      </w:r>
    </w:p>
    <w:p w14:paraId="10CC7670" w14:textId="77777777" w:rsidR="00F52217" w:rsidRPr="00F13D60" w:rsidRDefault="00F52217">
      <w:pPr>
        <w:rPr>
          <w:b/>
          <w:bCs/>
          <w:sz w:val="20"/>
          <w:szCs w:val="20"/>
        </w:rPr>
      </w:pPr>
    </w:p>
    <w:p w14:paraId="0EE85512" w14:textId="77777777" w:rsidR="00F52217" w:rsidRPr="00706675" w:rsidRDefault="00F5614E" w:rsidP="006B4CF5">
      <w:pPr>
        <w:jc w:val="center"/>
        <w:rPr>
          <w:rFonts w:asciiTheme="majorBidi" w:hAnsiTheme="majorBidi" w:cstheme="majorBidi"/>
        </w:rPr>
      </w:pPr>
      <w:r w:rsidRPr="00706675">
        <w:rPr>
          <w:rFonts w:asciiTheme="majorBidi" w:hAnsiTheme="majorBidi" w:cstheme="majorBidi"/>
          <w:b/>
          <w:bCs/>
          <w:sz w:val="20"/>
          <w:szCs w:val="20"/>
        </w:rPr>
        <w:t>Hasti Hadian</w:t>
      </w:r>
      <w:r>
        <w:br/>
      </w:r>
      <w:r w:rsidRPr="00706675">
        <w:rPr>
          <w:rFonts w:asciiTheme="majorBidi" w:hAnsiTheme="majorBidi" w:cstheme="majorBidi"/>
          <w:i/>
          <w:iCs/>
          <w:sz w:val="20"/>
          <w:szCs w:val="20"/>
        </w:rPr>
        <w:t>Faculty of Nursing, Sarab University of Medical Sciences, Iran</w:t>
      </w:r>
    </w:p>
    <w:p w14:paraId="021457BA" w14:textId="77777777" w:rsidR="00F52217" w:rsidRDefault="00F52217"/>
    <w:p w14:paraId="61763949" w14:textId="77777777" w:rsidR="00F52217" w:rsidRPr="00706675" w:rsidRDefault="00F5614E">
      <w:pPr>
        <w:rPr>
          <w:rFonts w:asciiTheme="majorBidi" w:hAnsiTheme="majorBidi" w:cstheme="majorBidi"/>
          <w:b/>
          <w:bCs/>
        </w:rPr>
      </w:pPr>
      <w:r w:rsidRPr="00706675">
        <w:rPr>
          <w:rFonts w:asciiTheme="majorBidi" w:hAnsiTheme="majorBidi" w:cstheme="majorBidi"/>
          <w:b/>
          <w:bCs/>
        </w:rPr>
        <w:t>Abstract</w:t>
      </w:r>
    </w:p>
    <w:p w14:paraId="73685DF2" w14:textId="05E9101E" w:rsidR="007B7FA1" w:rsidRDefault="00F41BC5" w:rsidP="007B7FA1">
      <w:pPr>
        <w:spacing w:before="100" w:beforeAutospacing="1" w:after="100" w:afterAutospacing="1" w:line="240" w:lineRule="auto"/>
        <w:rPr>
          <w:rFonts w:ascii="Times New Roman" w:eastAsia="Times New Roman" w:hAnsi="Times New Roman" w:cs="Times New Roman"/>
          <w:sz w:val="20"/>
          <w:szCs w:val="20"/>
        </w:rPr>
      </w:pPr>
      <w:r w:rsidRPr="00F41BC5">
        <w:rPr>
          <w:rFonts w:ascii="Times New Roman" w:eastAsia="Times New Roman" w:hAnsi="Times New Roman" w:cs="Times New Roman"/>
          <w:sz w:val="20"/>
          <w:szCs w:val="20"/>
        </w:rPr>
        <w:t>Tele-nursing, a rapidly expanding aspect of telehealth, integrates digital communication technologies into nursing practice, enabling remote monitoring, education, and care coordination. This review explores the effectiveness of tele-nursing in promoting functional independence, self-esteem, and overall quality of life among older adults. Through an examination of current evidence, it is demonstrated that nurse-led telehealth interventions significantly improve functional independence, medication adherence, and self-efficacy, while reducing hospital admissions and feelings of isolation. Tele-nursing interventions empower older adults by providing continuous communication, personalized feedback, and health education, fostering increased confidence, self-esteem, and engagement in daily activities. The review also addresses the technological barriers faced, such as digital illiteracy, poor internet access, and privacy concerns, particularly in underserved regions. It highlights the potential of hybrid care models, combining telehealth and in-person visits, for improving outcomes in geriatric care. Furthermore, the review underscores the importance of longitudinal studies to evaluate the sustainability and long-term psychosocial impacts of tele-nursing on elderly populations. The evidence calls for further research to refine these models and better integrate tele-nursing into global health systems.</w:t>
      </w:r>
    </w:p>
    <w:p w14:paraId="22E46AEE" w14:textId="77777777" w:rsidR="007B7FA1" w:rsidRPr="00F41BC5" w:rsidRDefault="007B7FA1" w:rsidP="007B7FA1">
      <w:pPr>
        <w:spacing w:before="100" w:beforeAutospacing="1" w:after="100" w:afterAutospacing="1" w:line="240" w:lineRule="auto"/>
        <w:rPr>
          <w:rFonts w:ascii="Times New Roman" w:eastAsia="Times New Roman" w:hAnsi="Times New Roman" w:cs="Times New Roman"/>
          <w:sz w:val="20"/>
          <w:szCs w:val="20"/>
        </w:rPr>
      </w:pPr>
    </w:p>
    <w:p w14:paraId="4FD3B2E6" w14:textId="77777777" w:rsidR="00F52217" w:rsidRPr="00706675" w:rsidRDefault="00F5614E">
      <w:pPr>
        <w:rPr>
          <w:rFonts w:asciiTheme="majorBidi" w:hAnsiTheme="majorBidi" w:cstheme="majorBidi"/>
        </w:rPr>
      </w:pPr>
      <w:r w:rsidRPr="00706675">
        <w:rPr>
          <w:rFonts w:asciiTheme="majorBidi" w:hAnsiTheme="majorBidi" w:cstheme="majorBidi"/>
          <w:b/>
          <w:bCs/>
        </w:rPr>
        <w:t>Keywords</w:t>
      </w:r>
      <w:r w:rsidRPr="00706675">
        <w:rPr>
          <w:rFonts w:asciiTheme="majorBidi" w:hAnsiTheme="majorBidi" w:cstheme="majorBidi"/>
          <w:sz w:val="20"/>
          <w:szCs w:val="20"/>
        </w:rPr>
        <w:t>: tele-nursing, telehealth, elderly, independence, self-esteem, self-efficacy, quality of life, aging, digital health</w:t>
      </w:r>
    </w:p>
    <w:p w14:paraId="0782F88D" w14:textId="77777777" w:rsidR="00F52217" w:rsidRPr="00706675" w:rsidRDefault="00F52217">
      <w:pPr>
        <w:rPr>
          <w:rFonts w:asciiTheme="majorBidi" w:hAnsiTheme="majorBidi" w:cstheme="majorBidi"/>
        </w:rPr>
      </w:pPr>
    </w:p>
    <w:p w14:paraId="4685E847" w14:textId="77777777" w:rsidR="00F52217" w:rsidRPr="00706675" w:rsidRDefault="00F52217">
      <w:pPr>
        <w:rPr>
          <w:rFonts w:asciiTheme="majorBidi" w:hAnsiTheme="majorBidi" w:cstheme="majorBidi"/>
        </w:rPr>
      </w:pPr>
    </w:p>
    <w:p w14:paraId="1A2CC855" w14:textId="77777777" w:rsidR="00F52217" w:rsidRPr="00706675" w:rsidRDefault="00F52217">
      <w:pPr>
        <w:rPr>
          <w:rFonts w:asciiTheme="majorBidi" w:hAnsiTheme="majorBidi" w:cstheme="majorBidi"/>
        </w:rPr>
      </w:pPr>
    </w:p>
    <w:p w14:paraId="430E24DE" w14:textId="77777777" w:rsidR="00F52217" w:rsidRPr="00706675" w:rsidRDefault="00F52217">
      <w:pPr>
        <w:rPr>
          <w:rFonts w:asciiTheme="majorBidi" w:hAnsiTheme="majorBidi" w:cstheme="majorBidi"/>
        </w:rPr>
      </w:pPr>
    </w:p>
    <w:p w14:paraId="62A3C426" w14:textId="77777777" w:rsidR="00DB6075" w:rsidRDefault="00DB6075">
      <w:pPr>
        <w:rPr>
          <w:rFonts w:asciiTheme="majorBidi" w:hAnsiTheme="majorBidi" w:cstheme="majorBidi"/>
          <w:b/>
          <w:bCs/>
        </w:rPr>
      </w:pPr>
    </w:p>
    <w:p w14:paraId="49CA4771" w14:textId="77777777" w:rsidR="008A5854" w:rsidRDefault="008A5854">
      <w:pPr>
        <w:rPr>
          <w:rFonts w:asciiTheme="majorBidi" w:hAnsiTheme="majorBidi" w:cstheme="majorBidi"/>
          <w:b/>
          <w:bCs/>
        </w:rPr>
      </w:pPr>
    </w:p>
    <w:p w14:paraId="21CDB2EE" w14:textId="41D2A9D6" w:rsidR="00F52217" w:rsidRPr="00706675" w:rsidRDefault="00F5614E">
      <w:pPr>
        <w:rPr>
          <w:rFonts w:asciiTheme="majorBidi" w:hAnsiTheme="majorBidi" w:cstheme="majorBidi"/>
          <w:b/>
          <w:bCs/>
        </w:rPr>
      </w:pPr>
      <w:r w:rsidRPr="00706675">
        <w:rPr>
          <w:rFonts w:asciiTheme="majorBidi" w:hAnsiTheme="majorBidi" w:cstheme="majorBidi"/>
          <w:b/>
          <w:bCs/>
        </w:rPr>
        <w:t>Introduction</w:t>
      </w:r>
    </w:p>
    <w:p w14:paraId="237E0FC6" w14:textId="463C279A" w:rsidR="00AC544C" w:rsidRPr="00FC07C2" w:rsidRDefault="00F5614E" w:rsidP="005D6A2B">
      <w:pPr>
        <w:jc w:val="both"/>
        <w:rPr>
          <w:rFonts w:asciiTheme="majorBidi" w:hAnsiTheme="majorBidi" w:cstheme="majorBidi"/>
          <w:sz w:val="20"/>
          <w:szCs w:val="20"/>
        </w:rPr>
      </w:pPr>
      <w:r w:rsidRPr="00FD342D">
        <w:rPr>
          <w:rFonts w:asciiTheme="majorBidi" w:hAnsiTheme="majorBidi" w:cstheme="majorBidi"/>
          <w:sz w:val="20"/>
          <w:szCs w:val="20"/>
        </w:rPr>
        <w:t>Population aging is a defining demographic trend of the twenty-first century. According to the World Health Organization [1], the global population aged 60 years and older is expected to double to 2.1 billion by 2050. Aging is accompanied by an increased prevalence of chronic diseases, reduced mobility, and psychological issues such as loneliness and diminished self-worth. For older adults, maintaining functional independence and self-esteem is closely associated with QoL</w:t>
      </w:r>
      <w:r w:rsidR="00CC3548">
        <w:rPr>
          <w:rStyle w:val="FootnoteReference"/>
          <w:rFonts w:asciiTheme="majorBidi" w:hAnsiTheme="majorBidi" w:cstheme="majorBidi"/>
          <w:sz w:val="20"/>
          <w:szCs w:val="20"/>
        </w:rPr>
        <w:footnoteReference w:id="1"/>
      </w:r>
      <w:r w:rsidRPr="00FD342D">
        <w:rPr>
          <w:rFonts w:asciiTheme="majorBidi" w:hAnsiTheme="majorBidi" w:cstheme="majorBidi"/>
          <w:sz w:val="20"/>
          <w:szCs w:val="20"/>
        </w:rPr>
        <w:t xml:space="preserve"> and life satisfaction [12]. Conventional in-person care models are increasingly unsustainable due to nursing shortages and economic constraints [20]. Tele-nursing—defined as nursing practice delivered remotely through telecommunication technologies—has emerged as a viable and efficient alternative [2]. This review synthesizes the current </w:t>
      </w:r>
      <w:r w:rsidR="00FD342D" w:rsidRPr="00FD342D">
        <w:rPr>
          <w:rFonts w:asciiTheme="majorBidi" w:hAnsiTheme="majorBidi" w:cstheme="majorBidi"/>
          <w:sz w:val="20"/>
          <w:szCs w:val="20"/>
        </w:rPr>
        <w:t>evidence on how tele-nursing interventions affect older adults’ independence and self-esteem</w:t>
      </w:r>
      <w:r w:rsidR="00AC544C" w:rsidRPr="00FC07C2">
        <w:rPr>
          <w:rFonts w:asciiTheme="majorBidi" w:hAnsiTheme="majorBidi" w:cstheme="majorBidi"/>
          <w:sz w:val="20"/>
          <w:szCs w:val="20"/>
        </w:rPr>
        <w:t>.</w:t>
      </w:r>
    </w:p>
    <w:p w14:paraId="470D0D27" w14:textId="77777777" w:rsidR="007B7FA1" w:rsidRDefault="007B7FA1" w:rsidP="00FD342D">
      <w:pPr>
        <w:jc w:val="both"/>
        <w:rPr>
          <w:rFonts w:asciiTheme="majorBidi" w:hAnsiTheme="majorBidi" w:cstheme="majorBidi"/>
          <w:sz w:val="20"/>
          <w:szCs w:val="20"/>
        </w:rPr>
      </w:pPr>
    </w:p>
    <w:p w14:paraId="209D357D" w14:textId="1576C7E3" w:rsidR="00F52217" w:rsidRPr="003A573A" w:rsidRDefault="009B2B92">
      <w:pPr>
        <w:rPr>
          <w:rFonts w:asciiTheme="majorBidi" w:hAnsiTheme="majorBidi" w:cstheme="majorBidi"/>
          <w:b/>
          <w:bCs/>
        </w:rPr>
      </w:pPr>
      <w:r>
        <w:rPr>
          <w:rFonts w:asciiTheme="majorBidi" w:hAnsiTheme="majorBidi" w:cstheme="majorBidi"/>
          <w:b/>
          <w:bCs/>
        </w:rPr>
        <w:t>1.</w:t>
      </w:r>
      <w:r w:rsidR="00F5614E" w:rsidRPr="003A573A">
        <w:rPr>
          <w:rFonts w:asciiTheme="majorBidi" w:hAnsiTheme="majorBidi" w:cstheme="majorBidi"/>
          <w:b/>
          <w:bCs/>
        </w:rPr>
        <w:t>Conceptual Framework of Tele-Nursing in Elderly Care</w:t>
      </w:r>
    </w:p>
    <w:p w14:paraId="5677F942" w14:textId="70238593" w:rsidR="007B7FA1" w:rsidRPr="003A573A" w:rsidRDefault="001C3857" w:rsidP="008A5854">
      <w:pPr>
        <w:jc w:val="both"/>
        <w:rPr>
          <w:rFonts w:asciiTheme="majorBidi" w:hAnsiTheme="majorBidi" w:cstheme="majorBidi"/>
          <w:sz w:val="20"/>
          <w:szCs w:val="20"/>
        </w:rPr>
      </w:pPr>
      <w:r w:rsidRPr="00AE7790">
        <w:rPr>
          <w:rFonts w:asciiTheme="majorBidi" w:hAnsiTheme="majorBidi" w:cstheme="majorBidi"/>
          <w:sz w:val="20"/>
          <w:szCs w:val="20"/>
        </w:rPr>
        <w:t>Tele-nursing in elderly care is built on a multidimensional framework that integrates behavioral theory, technological innovation, patient-centered care, and continuous nurse–patient relationships. At the theoretical level, the foundation remains Bandura’s self-efficacy theory [3], which asserts that confidence in one’s ability to perform health-related tasks strongly predicts independence and behavior change. Tele-nursing promotes self-efficacy by offering consistent educational support, direct feedback, and personalized coaching that empower older adults to take responsibility for their health. From a technological standpoint, tele-nursing uses a broad range of digital tools such as video conferencing, wearable sensors, mobile health applications, remote monitoring platforms, and artificial intelligence–driven alert systems. These allow nurses to track physiological parameters, identify early signs of deterioration, and deliver tailored interventions in real time [11]. This technological integration not only improves clinical oversight but also enhances the continuity of care, which is critical for managing chronic diseases common among older adults.</w:t>
      </w:r>
      <w:r>
        <w:rPr>
          <w:rFonts w:asciiTheme="majorBidi" w:hAnsiTheme="majorBidi" w:cstheme="majorBidi"/>
          <w:sz w:val="20"/>
          <w:szCs w:val="20"/>
        </w:rPr>
        <w:t xml:space="preserve"> </w:t>
      </w:r>
      <w:r w:rsidRPr="00AE7790">
        <w:rPr>
          <w:rFonts w:asciiTheme="majorBidi" w:hAnsiTheme="majorBidi" w:cstheme="majorBidi"/>
          <w:sz w:val="20"/>
          <w:szCs w:val="20"/>
        </w:rPr>
        <w:t>Remote care models have also been shown to strengthen self-management skills, especially when nurses provide individualized health education. Nurse-led telehealth programs have been found to enhance physical functioning, confidence, and participation in social activities [4]. Similarly, structured tele-coaching supports goal-setting behaviors and improves psychological resilience, as demonstrated in home-based aging support programs [5]. A vital component of this conceptual framework is the therapeutic alliance established through continuous, empathetic communication. Tele-nursing provides older adults with emotional reassurance, which reduces anxiety, loneliness, and perceived social isolation—factors that significantly affect self-esteem and engagement in daily activities. Qualitative evidence shows that older adults value the sense of connection and being cared for, offered through telecommunication platforms, which enhances their motivation and trust in the healthcare system [21]. Furthermore, the framework aligns with the principles of patient-centered and person-centered care, emphasizing individualized interventions based on patient preferences, values, and functional capabilities. Tele-nursing enables shared decision-making by allowing older adults to monitor symptoms, view health data, and interact with nurses in a flexible, accessible manner. Recent advancements, including AI-supported decision tools and smart-home technologies, further strengthen the tele-nursing framework by enabling early detection of risk, medication reminders, and safety monitoring [22]. These innovations reduce dependency on physical visits and support long-term healthy aging within the home environment.</w:t>
      </w:r>
    </w:p>
    <w:p w14:paraId="607FB06A" w14:textId="77777777" w:rsidR="008A5854" w:rsidRDefault="008A5854">
      <w:pPr>
        <w:rPr>
          <w:rFonts w:asciiTheme="majorBidi" w:hAnsiTheme="majorBidi" w:cstheme="majorBidi"/>
          <w:b/>
          <w:bCs/>
        </w:rPr>
      </w:pPr>
    </w:p>
    <w:p w14:paraId="5A1DDF5D" w14:textId="4C0E6D30" w:rsidR="00F52217" w:rsidRPr="003A573A" w:rsidRDefault="009B2B92">
      <w:pPr>
        <w:rPr>
          <w:rFonts w:asciiTheme="majorBidi" w:hAnsiTheme="majorBidi" w:cstheme="majorBidi"/>
          <w:b/>
          <w:bCs/>
        </w:rPr>
      </w:pPr>
      <w:r>
        <w:rPr>
          <w:rFonts w:asciiTheme="majorBidi" w:hAnsiTheme="majorBidi" w:cstheme="majorBidi"/>
          <w:b/>
          <w:bCs/>
        </w:rPr>
        <w:lastRenderedPageBreak/>
        <w:t>2.</w:t>
      </w:r>
      <w:r w:rsidR="00F5614E" w:rsidRPr="003A573A">
        <w:rPr>
          <w:rFonts w:asciiTheme="majorBidi" w:hAnsiTheme="majorBidi" w:cstheme="majorBidi"/>
          <w:b/>
          <w:bCs/>
        </w:rPr>
        <w:t>Effects of Tele-Nursing on Functional Independence</w:t>
      </w:r>
    </w:p>
    <w:p w14:paraId="50CA46FC" w14:textId="778BA665" w:rsidR="001227AA" w:rsidRPr="001227AA" w:rsidRDefault="006511EC" w:rsidP="001227AA">
      <w:pPr>
        <w:rPr>
          <w:rFonts w:asciiTheme="majorBidi" w:hAnsiTheme="majorBidi" w:cstheme="majorBidi"/>
          <w:b/>
          <w:bCs/>
          <w:sz w:val="20"/>
          <w:szCs w:val="20"/>
        </w:rPr>
      </w:pPr>
      <w:r>
        <w:rPr>
          <w:rFonts w:asciiTheme="majorBidi" w:hAnsiTheme="majorBidi" w:cstheme="majorBidi"/>
          <w:b/>
          <w:bCs/>
          <w:sz w:val="20"/>
          <w:szCs w:val="20"/>
        </w:rPr>
        <w:t>2</w:t>
      </w:r>
      <w:r w:rsidR="009B2B92">
        <w:rPr>
          <w:rFonts w:asciiTheme="majorBidi" w:hAnsiTheme="majorBidi" w:cstheme="majorBidi"/>
          <w:b/>
          <w:bCs/>
          <w:sz w:val="20"/>
          <w:szCs w:val="20"/>
        </w:rPr>
        <w:t>.</w:t>
      </w:r>
      <w:r>
        <w:rPr>
          <w:rFonts w:asciiTheme="majorBidi" w:hAnsiTheme="majorBidi" w:cstheme="majorBidi"/>
          <w:b/>
          <w:bCs/>
          <w:sz w:val="20"/>
          <w:szCs w:val="20"/>
        </w:rPr>
        <w:t>1.</w:t>
      </w:r>
      <w:r w:rsidR="001227AA" w:rsidRPr="001227AA">
        <w:rPr>
          <w:rFonts w:asciiTheme="majorBidi" w:hAnsiTheme="majorBidi" w:cstheme="majorBidi"/>
          <w:b/>
          <w:bCs/>
          <w:sz w:val="20"/>
          <w:szCs w:val="20"/>
        </w:rPr>
        <w:t xml:space="preserve"> Tele-Nursing as a Driver of Daily Functional Ability</w:t>
      </w:r>
    </w:p>
    <w:p w14:paraId="7B122250" w14:textId="77777777" w:rsidR="001227AA" w:rsidRPr="001227AA" w:rsidRDefault="001227AA" w:rsidP="0051562A">
      <w:pPr>
        <w:jc w:val="both"/>
        <w:rPr>
          <w:rFonts w:asciiTheme="majorBidi" w:hAnsiTheme="majorBidi" w:cstheme="majorBidi"/>
          <w:sz w:val="20"/>
          <w:szCs w:val="20"/>
        </w:rPr>
      </w:pPr>
      <w:r w:rsidRPr="001227AA">
        <w:rPr>
          <w:rFonts w:asciiTheme="majorBidi" w:hAnsiTheme="majorBidi" w:cstheme="majorBidi"/>
          <w:sz w:val="20"/>
          <w:szCs w:val="20"/>
        </w:rPr>
        <w:t>Tele-nursing has demonstrated a significant positive impact on the functional independence of older adults by supporting their ability to perform both basic and instrumental activities of daily living (ADLs and IADLs). Through continuous remote monitoring, personalized guidance, and structured self-management support, tele-nursing enables older adults to maintain or even improve their physical capabilities and daily functioning. Nurse-led telehealth programs provide step-by-step coaching, reminders, exercise instructions, and real-time feedback, which help older adults develop consistent health behaviors and maintain mobility [4,5].</w:t>
      </w:r>
    </w:p>
    <w:p w14:paraId="77F2346D" w14:textId="77777777" w:rsidR="009B2B92" w:rsidRDefault="009B2B92" w:rsidP="001227AA">
      <w:pPr>
        <w:rPr>
          <w:rFonts w:asciiTheme="majorBidi" w:hAnsiTheme="majorBidi" w:cstheme="majorBidi"/>
          <w:b/>
          <w:bCs/>
          <w:sz w:val="20"/>
          <w:szCs w:val="20"/>
        </w:rPr>
      </w:pPr>
    </w:p>
    <w:p w14:paraId="01BB3F11" w14:textId="7DB293B1" w:rsidR="001227AA" w:rsidRPr="001227AA" w:rsidRDefault="001227AA" w:rsidP="001227AA">
      <w:pPr>
        <w:rPr>
          <w:rFonts w:asciiTheme="majorBidi" w:hAnsiTheme="majorBidi" w:cstheme="majorBidi"/>
          <w:b/>
          <w:bCs/>
          <w:sz w:val="20"/>
          <w:szCs w:val="20"/>
        </w:rPr>
      </w:pPr>
      <w:r w:rsidRPr="001227AA">
        <w:rPr>
          <w:rFonts w:asciiTheme="majorBidi" w:hAnsiTheme="majorBidi" w:cstheme="majorBidi"/>
          <w:b/>
          <w:bCs/>
          <w:sz w:val="20"/>
          <w:szCs w:val="20"/>
        </w:rPr>
        <w:t>2.</w:t>
      </w:r>
      <w:r w:rsidR="006511EC">
        <w:rPr>
          <w:rFonts w:asciiTheme="majorBidi" w:hAnsiTheme="majorBidi" w:cstheme="majorBidi"/>
          <w:b/>
          <w:bCs/>
          <w:sz w:val="20"/>
          <w:szCs w:val="20"/>
        </w:rPr>
        <w:t>2.</w:t>
      </w:r>
      <w:r w:rsidRPr="001227AA">
        <w:rPr>
          <w:rFonts w:asciiTheme="majorBidi" w:hAnsiTheme="majorBidi" w:cstheme="majorBidi"/>
          <w:b/>
          <w:bCs/>
          <w:sz w:val="20"/>
          <w:szCs w:val="20"/>
        </w:rPr>
        <w:t xml:space="preserve"> Continuous Monitoring and Proactive Intervention</w:t>
      </w:r>
    </w:p>
    <w:p w14:paraId="076F2727" w14:textId="77777777" w:rsidR="001227AA" w:rsidRPr="001227AA" w:rsidRDefault="001227AA" w:rsidP="0051562A">
      <w:pPr>
        <w:jc w:val="both"/>
        <w:rPr>
          <w:rFonts w:asciiTheme="majorBidi" w:hAnsiTheme="majorBidi" w:cstheme="majorBidi"/>
          <w:sz w:val="20"/>
          <w:szCs w:val="20"/>
        </w:rPr>
      </w:pPr>
      <w:r w:rsidRPr="001227AA">
        <w:rPr>
          <w:rFonts w:asciiTheme="majorBidi" w:hAnsiTheme="majorBidi" w:cstheme="majorBidi"/>
          <w:sz w:val="20"/>
          <w:szCs w:val="20"/>
        </w:rPr>
        <w:t>One of the main mechanisms through which tele-nursing enhances independence is ongoing communication and timely intervention. Regular virtual check-ins allow nurses to identify early signs of decline, adjust care plans, and prevent complications before they escalate. This proactive management reduces unplanned hospitalizations and emergency visits, enabling older adults to stay in their homes and communities for longer periods [8]. Remote monitoring devices further assist by tracking vital signs, medications, and activity levels, ensuring that health concerns are addressed promptly.</w:t>
      </w:r>
    </w:p>
    <w:p w14:paraId="7B84BF48" w14:textId="77777777" w:rsidR="009B2B92" w:rsidRDefault="009B2B92" w:rsidP="0051562A">
      <w:pPr>
        <w:jc w:val="both"/>
        <w:rPr>
          <w:rFonts w:asciiTheme="majorBidi" w:hAnsiTheme="majorBidi" w:cstheme="majorBidi"/>
          <w:b/>
          <w:bCs/>
          <w:sz w:val="20"/>
          <w:szCs w:val="20"/>
        </w:rPr>
      </w:pPr>
    </w:p>
    <w:p w14:paraId="4E3DAA95" w14:textId="715C164C" w:rsidR="001227AA" w:rsidRPr="001227AA" w:rsidRDefault="006511EC" w:rsidP="0051562A">
      <w:pPr>
        <w:jc w:val="both"/>
        <w:rPr>
          <w:rFonts w:asciiTheme="majorBidi" w:hAnsiTheme="majorBidi" w:cstheme="majorBidi"/>
          <w:b/>
          <w:bCs/>
          <w:sz w:val="20"/>
          <w:szCs w:val="20"/>
        </w:rPr>
      </w:pPr>
      <w:r>
        <w:rPr>
          <w:rFonts w:asciiTheme="majorBidi" w:hAnsiTheme="majorBidi" w:cstheme="majorBidi"/>
          <w:b/>
          <w:bCs/>
          <w:sz w:val="20"/>
          <w:szCs w:val="20"/>
        </w:rPr>
        <w:t>2.</w:t>
      </w:r>
      <w:r w:rsidR="001227AA" w:rsidRPr="001227AA">
        <w:rPr>
          <w:rFonts w:asciiTheme="majorBidi" w:hAnsiTheme="majorBidi" w:cstheme="majorBidi"/>
          <w:b/>
          <w:bCs/>
          <w:sz w:val="20"/>
          <w:szCs w:val="20"/>
        </w:rPr>
        <w:t>3. Improvements in Mobility and Physical Performance</w:t>
      </w:r>
    </w:p>
    <w:p w14:paraId="2EC5F56E" w14:textId="77777777" w:rsidR="001227AA" w:rsidRPr="001227AA" w:rsidRDefault="001227AA" w:rsidP="0051562A">
      <w:pPr>
        <w:jc w:val="both"/>
        <w:rPr>
          <w:rFonts w:asciiTheme="majorBidi" w:hAnsiTheme="majorBidi" w:cstheme="majorBidi"/>
          <w:sz w:val="20"/>
          <w:szCs w:val="20"/>
        </w:rPr>
      </w:pPr>
      <w:r w:rsidRPr="001227AA">
        <w:rPr>
          <w:rFonts w:asciiTheme="majorBidi" w:hAnsiTheme="majorBidi" w:cstheme="majorBidi"/>
          <w:sz w:val="20"/>
          <w:szCs w:val="20"/>
        </w:rPr>
        <w:t>Tele-nursing also has a major influence on physical functioning and mobility. Older adults who receive tele-guided rehabilitation, balance training, or physical activity coaching show improved strength, stability, and walking ability. Video-based nurse consultations have been associated with reduced falls, better gait performance, and increased confidence in movement [9]. These improvements directly contribute to greater independence in daily activities such as bathing, walking, and preparing meals.</w:t>
      </w:r>
    </w:p>
    <w:p w14:paraId="1E2FC6D9" w14:textId="77777777" w:rsidR="00F13D60" w:rsidRDefault="00F13D60" w:rsidP="0051562A">
      <w:pPr>
        <w:jc w:val="both"/>
        <w:rPr>
          <w:rFonts w:asciiTheme="majorBidi" w:hAnsiTheme="majorBidi" w:cstheme="majorBidi"/>
          <w:b/>
          <w:bCs/>
          <w:sz w:val="20"/>
          <w:szCs w:val="20"/>
        </w:rPr>
      </w:pPr>
    </w:p>
    <w:p w14:paraId="7B65494F" w14:textId="7D3CBD1C" w:rsidR="001227AA" w:rsidRPr="001227AA" w:rsidRDefault="006511EC" w:rsidP="0051562A">
      <w:pPr>
        <w:jc w:val="both"/>
        <w:rPr>
          <w:rFonts w:asciiTheme="majorBidi" w:hAnsiTheme="majorBidi" w:cstheme="majorBidi"/>
          <w:b/>
          <w:bCs/>
          <w:sz w:val="20"/>
          <w:szCs w:val="20"/>
        </w:rPr>
      </w:pPr>
      <w:r>
        <w:rPr>
          <w:rFonts w:asciiTheme="majorBidi" w:hAnsiTheme="majorBidi" w:cstheme="majorBidi"/>
          <w:b/>
          <w:bCs/>
          <w:sz w:val="20"/>
          <w:szCs w:val="20"/>
        </w:rPr>
        <w:t>2.</w:t>
      </w:r>
      <w:r w:rsidR="001227AA" w:rsidRPr="001227AA">
        <w:rPr>
          <w:rFonts w:asciiTheme="majorBidi" w:hAnsiTheme="majorBidi" w:cstheme="majorBidi"/>
          <w:b/>
          <w:bCs/>
          <w:sz w:val="20"/>
          <w:szCs w:val="20"/>
        </w:rPr>
        <w:t>4. Enhanced Medication Adherence and Symptom Control</w:t>
      </w:r>
    </w:p>
    <w:p w14:paraId="77BA5F6C" w14:textId="77777777" w:rsidR="001227AA" w:rsidRPr="001227AA" w:rsidRDefault="001227AA" w:rsidP="0051562A">
      <w:pPr>
        <w:jc w:val="both"/>
        <w:rPr>
          <w:rFonts w:asciiTheme="majorBidi" w:hAnsiTheme="majorBidi" w:cstheme="majorBidi"/>
          <w:sz w:val="20"/>
          <w:szCs w:val="20"/>
        </w:rPr>
      </w:pPr>
      <w:r w:rsidRPr="001227AA">
        <w:rPr>
          <w:rFonts w:asciiTheme="majorBidi" w:hAnsiTheme="majorBidi" w:cstheme="majorBidi"/>
          <w:sz w:val="20"/>
          <w:szCs w:val="20"/>
        </w:rPr>
        <w:t>Another important contribution of tele-nursing is enhanced medication adherence, which is essential for maintaining functional independence. Nurses use telehealth platforms to remind patients about medications, assess side effects, and provide education about correct usage. When patients follow their treatment plans more effectively, symptoms are better controlled, physical function improves, and the risk of exacerbations decreases.</w:t>
      </w:r>
    </w:p>
    <w:p w14:paraId="0EBC974F" w14:textId="77777777" w:rsidR="009B2B92" w:rsidRDefault="009B2B92" w:rsidP="0051562A">
      <w:pPr>
        <w:jc w:val="both"/>
        <w:rPr>
          <w:rFonts w:asciiTheme="majorBidi" w:hAnsiTheme="majorBidi" w:cstheme="majorBidi"/>
          <w:b/>
          <w:bCs/>
          <w:sz w:val="20"/>
          <w:szCs w:val="20"/>
        </w:rPr>
      </w:pPr>
    </w:p>
    <w:p w14:paraId="43EB98A9" w14:textId="0A7290C2" w:rsidR="001227AA" w:rsidRPr="001227AA" w:rsidRDefault="006511EC" w:rsidP="0051562A">
      <w:pPr>
        <w:jc w:val="both"/>
        <w:rPr>
          <w:rFonts w:asciiTheme="majorBidi" w:hAnsiTheme="majorBidi" w:cstheme="majorBidi"/>
          <w:b/>
          <w:bCs/>
          <w:sz w:val="20"/>
          <w:szCs w:val="20"/>
        </w:rPr>
      </w:pPr>
      <w:r>
        <w:rPr>
          <w:rFonts w:asciiTheme="majorBidi" w:hAnsiTheme="majorBidi" w:cstheme="majorBidi"/>
          <w:b/>
          <w:bCs/>
          <w:sz w:val="20"/>
          <w:szCs w:val="20"/>
        </w:rPr>
        <w:t>2.</w:t>
      </w:r>
      <w:r w:rsidR="001227AA" w:rsidRPr="001227AA">
        <w:rPr>
          <w:rFonts w:asciiTheme="majorBidi" w:hAnsiTheme="majorBidi" w:cstheme="majorBidi"/>
          <w:b/>
          <w:bCs/>
          <w:sz w:val="20"/>
          <w:szCs w:val="20"/>
        </w:rPr>
        <w:t>5. Support for Managing Chronic Conditions and Multimorbidity</w:t>
      </w:r>
    </w:p>
    <w:p w14:paraId="404C70EC" w14:textId="77777777" w:rsidR="001227AA" w:rsidRPr="001227AA" w:rsidRDefault="001227AA" w:rsidP="0051562A">
      <w:pPr>
        <w:jc w:val="both"/>
        <w:rPr>
          <w:rFonts w:asciiTheme="majorBidi" w:hAnsiTheme="majorBidi" w:cstheme="majorBidi"/>
          <w:sz w:val="20"/>
          <w:szCs w:val="20"/>
        </w:rPr>
      </w:pPr>
      <w:r w:rsidRPr="001227AA">
        <w:rPr>
          <w:rFonts w:asciiTheme="majorBidi" w:hAnsiTheme="majorBidi" w:cstheme="majorBidi"/>
          <w:sz w:val="20"/>
          <w:szCs w:val="20"/>
        </w:rPr>
        <w:t xml:space="preserve">Tele-nursing also supports independence by helping older adults manage multiple chronic conditions. Many elderly individuals live with multimorbidity, which complicates self-care. Tele-nursing programs assist patients in coordinating care, understanding complex instructions, and integrating daily routines that improve physical health and </w:t>
      </w:r>
      <w:r w:rsidRPr="001227AA">
        <w:rPr>
          <w:rFonts w:asciiTheme="majorBidi" w:hAnsiTheme="majorBidi" w:cstheme="majorBidi"/>
          <w:sz w:val="20"/>
          <w:szCs w:val="20"/>
        </w:rPr>
        <w:lastRenderedPageBreak/>
        <w:t>functional status. Evidence indicates that remote nursing interventions can enhance self-care ability, treatment adherence, and overall disease management, leading to greater autonomy in everyday life [6,14].</w:t>
      </w:r>
    </w:p>
    <w:p w14:paraId="2611D22D" w14:textId="77777777" w:rsidR="009B2B92" w:rsidRDefault="009B2B92" w:rsidP="0051562A">
      <w:pPr>
        <w:jc w:val="both"/>
        <w:rPr>
          <w:rFonts w:asciiTheme="majorBidi" w:hAnsiTheme="majorBidi" w:cstheme="majorBidi"/>
          <w:b/>
          <w:bCs/>
          <w:sz w:val="20"/>
          <w:szCs w:val="20"/>
        </w:rPr>
      </w:pPr>
    </w:p>
    <w:p w14:paraId="4F94EC4B" w14:textId="67770570" w:rsidR="001227AA" w:rsidRPr="001227AA" w:rsidRDefault="006511EC" w:rsidP="0051562A">
      <w:pPr>
        <w:jc w:val="both"/>
        <w:rPr>
          <w:rFonts w:asciiTheme="majorBidi" w:hAnsiTheme="majorBidi" w:cstheme="majorBidi"/>
          <w:b/>
          <w:bCs/>
          <w:sz w:val="20"/>
          <w:szCs w:val="20"/>
        </w:rPr>
      </w:pPr>
      <w:r>
        <w:rPr>
          <w:rFonts w:asciiTheme="majorBidi" w:hAnsiTheme="majorBidi" w:cstheme="majorBidi"/>
          <w:b/>
          <w:bCs/>
          <w:sz w:val="20"/>
          <w:szCs w:val="20"/>
        </w:rPr>
        <w:t>2.</w:t>
      </w:r>
      <w:r w:rsidR="001227AA" w:rsidRPr="001227AA">
        <w:rPr>
          <w:rFonts w:asciiTheme="majorBidi" w:hAnsiTheme="majorBidi" w:cstheme="majorBidi"/>
          <w:b/>
          <w:bCs/>
          <w:sz w:val="20"/>
          <w:szCs w:val="20"/>
        </w:rPr>
        <w:t>6. Psychosocial Support and Motivation for Independence</w:t>
      </w:r>
    </w:p>
    <w:p w14:paraId="1F39DBEE" w14:textId="77777777" w:rsidR="001227AA" w:rsidRPr="001227AA" w:rsidRDefault="001227AA" w:rsidP="0051562A">
      <w:pPr>
        <w:jc w:val="both"/>
        <w:rPr>
          <w:rFonts w:asciiTheme="majorBidi" w:hAnsiTheme="majorBidi" w:cstheme="majorBidi"/>
          <w:sz w:val="20"/>
          <w:szCs w:val="20"/>
        </w:rPr>
      </w:pPr>
      <w:r w:rsidRPr="001227AA">
        <w:rPr>
          <w:rFonts w:asciiTheme="majorBidi" w:hAnsiTheme="majorBidi" w:cstheme="majorBidi"/>
          <w:sz w:val="20"/>
          <w:szCs w:val="20"/>
        </w:rPr>
        <w:t xml:space="preserve">Importantly, the </w:t>
      </w:r>
      <w:r w:rsidRPr="001227AA">
        <w:rPr>
          <w:rFonts w:asciiTheme="majorBidi" w:hAnsiTheme="majorBidi" w:cstheme="majorBidi"/>
          <w:b/>
          <w:bCs/>
          <w:sz w:val="20"/>
          <w:szCs w:val="20"/>
        </w:rPr>
        <w:t>psychosocial support</w:t>
      </w:r>
      <w:r w:rsidRPr="001227AA">
        <w:rPr>
          <w:rFonts w:asciiTheme="majorBidi" w:hAnsiTheme="majorBidi" w:cstheme="majorBidi"/>
          <w:sz w:val="20"/>
          <w:szCs w:val="20"/>
        </w:rPr>
        <w:t xml:space="preserve"> provided by tele-nurses also contributes to functional independence. When older adults feel supported, encouraged, and connected, their motivation to stay active and manage their health increases. Reduced anxiety, loneliness, and uncertainty empower older adults to take initiative in maintaining mobility and performing daily tasks. As self-efficacy increases, so does independence—a relationship consistently supported by research [5,16,17].</w:t>
      </w:r>
    </w:p>
    <w:p w14:paraId="1F9DAE34" w14:textId="77777777" w:rsidR="009B2B92" w:rsidRDefault="009B2B92" w:rsidP="0051562A">
      <w:pPr>
        <w:jc w:val="both"/>
        <w:rPr>
          <w:rFonts w:asciiTheme="majorBidi" w:hAnsiTheme="majorBidi" w:cstheme="majorBidi"/>
          <w:b/>
          <w:bCs/>
          <w:sz w:val="20"/>
          <w:szCs w:val="20"/>
        </w:rPr>
      </w:pPr>
    </w:p>
    <w:p w14:paraId="09B6F568" w14:textId="3214A835" w:rsidR="001227AA" w:rsidRPr="001227AA" w:rsidRDefault="006511EC" w:rsidP="0051562A">
      <w:pPr>
        <w:jc w:val="both"/>
        <w:rPr>
          <w:rFonts w:asciiTheme="majorBidi" w:hAnsiTheme="majorBidi" w:cstheme="majorBidi"/>
          <w:b/>
          <w:bCs/>
          <w:sz w:val="20"/>
          <w:szCs w:val="20"/>
        </w:rPr>
      </w:pPr>
      <w:r>
        <w:rPr>
          <w:rFonts w:asciiTheme="majorBidi" w:hAnsiTheme="majorBidi" w:cstheme="majorBidi"/>
          <w:b/>
          <w:bCs/>
          <w:sz w:val="20"/>
          <w:szCs w:val="20"/>
        </w:rPr>
        <w:t>2.</w:t>
      </w:r>
      <w:r w:rsidR="001227AA" w:rsidRPr="001227AA">
        <w:rPr>
          <w:rFonts w:asciiTheme="majorBidi" w:hAnsiTheme="majorBidi" w:cstheme="majorBidi"/>
          <w:b/>
          <w:bCs/>
          <w:sz w:val="20"/>
          <w:szCs w:val="20"/>
        </w:rPr>
        <w:t>7. Personalized Care Planning for Functional Improvement</w:t>
      </w:r>
    </w:p>
    <w:p w14:paraId="4AF1563F" w14:textId="77777777" w:rsidR="001227AA" w:rsidRPr="001227AA" w:rsidRDefault="001227AA" w:rsidP="0051562A">
      <w:pPr>
        <w:jc w:val="both"/>
        <w:rPr>
          <w:rFonts w:asciiTheme="majorBidi" w:hAnsiTheme="majorBidi" w:cstheme="majorBidi"/>
          <w:sz w:val="20"/>
          <w:szCs w:val="20"/>
        </w:rPr>
      </w:pPr>
      <w:r w:rsidRPr="001227AA">
        <w:rPr>
          <w:rFonts w:asciiTheme="majorBidi" w:hAnsiTheme="majorBidi" w:cstheme="majorBidi"/>
          <w:sz w:val="20"/>
          <w:szCs w:val="20"/>
        </w:rPr>
        <w:t>Tele-nursing also allows for personalized care planning, in which nurses tailor interventions to the specific needs, cultural background, preferences, and abilities of each older adult. This individualized approach ensures that exercise routines, safety strategies, diet recommendations, and daily activities are appropriate for each person’s functional level. Personalized instructions delivered through tele-platforms help older adults integrate healthy habits into their routines more effectively than traditional one-size-fits-all guidance.</w:t>
      </w:r>
    </w:p>
    <w:p w14:paraId="0643AF95" w14:textId="77777777" w:rsidR="009B2B92" w:rsidRDefault="009B2B92" w:rsidP="0051562A">
      <w:pPr>
        <w:jc w:val="both"/>
        <w:rPr>
          <w:rFonts w:asciiTheme="majorBidi" w:hAnsiTheme="majorBidi" w:cstheme="majorBidi"/>
          <w:b/>
          <w:bCs/>
          <w:sz w:val="20"/>
          <w:szCs w:val="20"/>
        </w:rPr>
      </w:pPr>
    </w:p>
    <w:p w14:paraId="278682F5" w14:textId="6EB5D748" w:rsidR="001227AA" w:rsidRPr="001227AA" w:rsidRDefault="006511EC" w:rsidP="0051562A">
      <w:pPr>
        <w:jc w:val="both"/>
        <w:rPr>
          <w:rFonts w:asciiTheme="majorBidi" w:hAnsiTheme="majorBidi" w:cstheme="majorBidi"/>
          <w:b/>
          <w:bCs/>
          <w:sz w:val="20"/>
          <w:szCs w:val="20"/>
        </w:rPr>
      </w:pPr>
      <w:r>
        <w:rPr>
          <w:rFonts w:asciiTheme="majorBidi" w:hAnsiTheme="majorBidi" w:cstheme="majorBidi"/>
          <w:b/>
          <w:bCs/>
          <w:sz w:val="20"/>
          <w:szCs w:val="20"/>
        </w:rPr>
        <w:t>2.</w:t>
      </w:r>
      <w:r w:rsidR="001227AA" w:rsidRPr="001227AA">
        <w:rPr>
          <w:rFonts w:asciiTheme="majorBidi" w:hAnsiTheme="majorBidi" w:cstheme="majorBidi"/>
          <w:b/>
          <w:bCs/>
          <w:sz w:val="20"/>
          <w:szCs w:val="20"/>
        </w:rPr>
        <w:t>8. Overall Contribution to Sustained Independence</w:t>
      </w:r>
    </w:p>
    <w:p w14:paraId="1C2594EB" w14:textId="6728F832" w:rsidR="001227AA" w:rsidRDefault="001227AA" w:rsidP="0051562A">
      <w:pPr>
        <w:jc w:val="both"/>
        <w:rPr>
          <w:rFonts w:asciiTheme="majorBidi" w:hAnsiTheme="majorBidi" w:cstheme="majorBidi"/>
          <w:sz w:val="20"/>
          <w:szCs w:val="20"/>
        </w:rPr>
      </w:pPr>
      <w:r w:rsidRPr="001227AA">
        <w:rPr>
          <w:rFonts w:asciiTheme="majorBidi" w:hAnsiTheme="majorBidi" w:cstheme="majorBidi"/>
          <w:sz w:val="20"/>
          <w:szCs w:val="20"/>
        </w:rPr>
        <w:t>Overall, the accumulated evidence indicates that tele-nursing plays a central role in preserving and enhancing the functional independence of older adults. Through continuous monitoring, educational support, early intervention, and personalized care, tele-nursing strengthens the self-management skills and physical abilities necessary for older adults to remain active, autonomous, and engaged in daily life.</w:t>
      </w:r>
    </w:p>
    <w:p w14:paraId="13AEE921" w14:textId="77777777" w:rsidR="007B7FA1" w:rsidRDefault="007B7FA1" w:rsidP="001227AA">
      <w:pPr>
        <w:rPr>
          <w:rFonts w:asciiTheme="majorBidi" w:hAnsiTheme="majorBidi" w:cstheme="majorBidi"/>
          <w:sz w:val="20"/>
          <w:szCs w:val="20"/>
        </w:rPr>
      </w:pPr>
    </w:p>
    <w:p w14:paraId="5C99D630" w14:textId="0D254FA9" w:rsidR="00F52217" w:rsidRPr="003A573A" w:rsidRDefault="006511EC" w:rsidP="00FD342D">
      <w:pPr>
        <w:rPr>
          <w:rFonts w:asciiTheme="majorBidi" w:hAnsiTheme="majorBidi" w:cstheme="majorBidi"/>
          <w:b/>
          <w:bCs/>
        </w:rPr>
      </w:pPr>
      <w:r>
        <w:rPr>
          <w:rFonts w:asciiTheme="majorBidi" w:hAnsiTheme="majorBidi" w:cstheme="majorBidi"/>
          <w:b/>
          <w:bCs/>
        </w:rPr>
        <w:t>3.</w:t>
      </w:r>
      <w:r w:rsidR="00F5614E" w:rsidRPr="003A573A">
        <w:rPr>
          <w:rFonts w:asciiTheme="majorBidi" w:hAnsiTheme="majorBidi" w:cstheme="majorBidi"/>
          <w:b/>
          <w:bCs/>
        </w:rPr>
        <w:t>Effects of Tele-Nursing on Self-Esteem and Psychosocial Well-Being</w:t>
      </w:r>
    </w:p>
    <w:p w14:paraId="4CB234ED" w14:textId="417C64FA" w:rsidR="00F52217" w:rsidRPr="00E314DF" w:rsidRDefault="00F5614E" w:rsidP="00FD342D">
      <w:pPr>
        <w:jc w:val="both"/>
        <w:rPr>
          <w:rFonts w:asciiTheme="majorBidi" w:hAnsiTheme="majorBidi" w:cstheme="majorBidi"/>
          <w:sz w:val="20"/>
          <w:szCs w:val="20"/>
        </w:rPr>
      </w:pPr>
      <w:r w:rsidRPr="00FD342D">
        <w:rPr>
          <w:rFonts w:asciiTheme="majorBidi" w:hAnsiTheme="majorBidi" w:cstheme="majorBidi"/>
          <w:sz w:val="20"/>
          <w:szCs w:val="20"/>
        </w:rPr>
        <w:t xml:space="preserve">Psychological well-being in old age depends on perceived autonomy, competence, and social connection. Tele-nursing addresses these domains through personalized communication, feedback, and empathy-based support. Reyes et al. (2023) found that elderly participants in a tele-nursing program felt more valued and connected. Bakas et al. [5] demonstrated that tele-nursing increased perceived self-efficacy, which correlated with improved self-esteem. </w:t>
      </w:r>
      <w:r w:rsidR="00CC3548">
        <w:rPr>
          <w:rFonts w:asciiTheme="majorBidi" w:hAnsiTheme="majorBidi" w:cstheme="majorBidi"/>
          <w:sz w:val="20"/>
          <w:szCs w:val="20"/>
        </w:rPr>
        <w:t xml:space="preserve">Some studies </w:t>
      </w:r>
      <w:r w:rsidRPr="00FD342D">
        <w:rPr>
          <w:rFonts w:asciiTheme="majorBidi" w:hAnsiTheme="majorBidi" w:cstheme="majorBidi"/>
          <w:sz w:val="20"/>
          <w:szCs w:val="20"/>
        </w:rPr>
        <w:t>show</w:t>
      </w:r>
      <w:r w:rsidR="00CC3548">
        <w:rPr>
          <w:rFonts w:asciiTheme="majorBidi" w:hAnsiTheme="majorBidi" w:cstheme="majorBidi"/>
          <w:sz w:val="20"/>
          <w:szCs w:val="20"/>
        </w:rPr>
        <w:t>s</w:t>
      </w:r>
      <w:r w:rsidRPr="00FD342D">
        <w:rPr>
          <w:rFonts w:asciiTheme="majorBidi" w:hAnsiTheme="majorBidi" w:cstheme="majorBidi"/>
          <w:sz w:val="20"/>
          <w:szCs w:val="20"/>
        </w:rPr>
        <w:t xml:space="preserve"> that virtual nurse counseling reduced </w:t>
      </w:r>
      <w:r w:rsidRPr="00E314DF">
        <w:rPr>
          <w:rFonts w:asciiTheme="majorBidi" w:hAnsiTheme="majorBidi" w:cstheme="majorBidi"/>
          <w:sz w:val="20"/>
          <w:szCs w:val="20"/>
        </w:rPr>
        <w:t>anxiety and improved self-confidence among Iranian older adults.</w:t>
      </w:r>
      <w:r w:rsidR="00FD342D" w:rsidRPr="00E314DF">
        <w:rPr>
          <w:rFonts w:asciiTheme="majorBidi" w:hAnsiTheme="majorBidi" w:cstheme="majorBidi"/>
          <w:sz w:val="20"/>
          <w:szCs w:val="20"/>
        </w:rPr>
        <w:t xml:space="preserve"> There are a</w:t>
      </w:r>
      <w:r w:rsidRPr="00E314DF">
        <w:rPr>
          <w:rFonts w:asciiTheme="majorBidi" w:hAnsiTheme="majorBidi" w:cstheme="majorBidi"/>
          <w:sz w:val="20"/>
          <w:szCs w:val="20"/>
        </w:rPr>
        <w:t>dditional Benefits</w:t>
      </w:r>
      <w:r w:rsidR="00FD342D" w:rsidRPr="00E314DF">
        <w:rPr>
          <w:rFonts w:asciiTheme="majorBidi" w:hAnsiTheme="majorBidi" w:cstheme="majorBidi"/>
          <w:sz w:val="20"/>
          <w:szCs w:val="20"/>
        </w:rPr>
        <w:t xml:space="preserve"> such as</w:t>
      </w:r>
      <w:r w:rsidRPr="00E314DF">
        <w:rPr>
          <w:rFonts w:asciiTheme="majorBidi" w:hAnsiTheme="majorBidi" w:cstheme="majorBidi"/>
          <w:sz w:val="20"/>
          <w:szCs w:val="20"/>
        </w:rPr>
        <w:t xml:space="preserve"> </w:t>
      </w:r>
      <w:r w:rsidR="00FD342D" w:rsidRPr="00E314DF">
        <w:rPr>
          <w:rFonts w:asciiTheme="majorBidi" w:hAnsiTheme="majorBidi" w:cstheme="majorBidi"/>
          <w:sz w:val="20"/>
          <w:szCs w:val="20"/>
        </w:rPr>
        <w:t>less c</w:t>
      </w:r>
      <w:r w:rsidRPr="00E314DF">
        <w:rPr>
          <w:rFonts w:asciiTheme="majorBidi" w:hAnsiTheme="majorBidi" w:cstheme="majorBidi"/>
          <w:sz w:val="20"/>
          <w:szCs w:val="20"/>
        </w:rPr>
        <w:t xml:space="preserve">ost, </w:t>
      </w:r>
      <w:r w:rsidR="00FD342D" w:rsidRPr="00E314DF">
        <w:rPr>
          <w:rFonts w:asciiTheme="majorBidi" w:hAnsiTheme="majorBidi" w:cstheme="majorBidi"/>
          <w:sz w:val="20"/>
          <w:szCs w:val="20"/>
        </w:rPr>
        <w:t>s</w:t>
      </w:r>
      <w:r w:rsidRPr="00E314DF">
        <w:rPr>
          <w:rFonts w:asciiTheme="majorBidi" w:hAnsiTheme="majorBidi" w:cstheme="majorBidi"/>
          <w:sz w:val="20"/>
          <w:szCs w:val="20"/>
        </w:rPr>
        <w:t>afety, and</w:t>
      </w:r>
      <w:r w:rsidR="00FD342D" w:rsidRPr="00E314DF">
        <w:rPr>
          <w:rFonts w:asciiTheme="majorBidi" w:hAnsiTheme="majorBidi" w:cstheme="majorBidi"/>
          <w:sz w:val="20"/>
          <w:szCs w:val="20"/>
        </w:rPr>
        <w:t xml:space="preserve"> better</w:t>
      </w:r>
      <w:r w:rsidRPr="00E314DF">
        <w:rPr>
          <w:rFonts w:asciiTheme="majorBidi" w:hAnsiTheme="majorBidi" w:cstheme="majorBidi"/>
          <w:sz w:val="20"/>
          <w:szCs w:val="20"/>
        </w:rPr>
        <w:t xml:space="preserve"> </w:t>
      </w:r>
      <w:r w:rsidR="00FD342D" w:rsidRPr="00E314DF">
        <w:rPr>
          <w:rFonts w:asciiTheme="majorBidi" w:hAnsiTheme="majorBidi" w:cstheme="majorBidi"/>
          <w:sz w:val="20"/>
          <w:szCs w:val="20"/>
        </w:rPr>
        <w:t>c</w:t>
      </w:r>
      <w:r w:rsidRPr="00E314DF">
        <w:rPr>
          <w:rFonts w:asciiTheme="majorBidi" w:hAnsiTheme="majorBidi" w:cstheme="majorBidi"/>
          <w:sz w:val="20"/>
          <w:szCs w:val="20"/>
        </w:rPr>
        <w:t xml:space="preserve">ontinuity of </w:t>
      </w:r>
      <w:r w:rsidR="00FD342D" w:rsidRPr="00E314DF">
        <w:rPr>
          <w:rFonts w:asciiTheme="majorBidi" w:hAnsiTheme="majorBidi" w:cstheme="majorBidi"/>
          <w:sz w:val="20"/>
          <w:szCs w:val="20"/>
        </w:rPr>
        <w:t>c</w:t>
      </w:r>
      <w:r w:rsidRPr="00E314DF">
        <w:rPr>
          <w:rFonts w:asciiTheme="majorBidi" w:hAnsiTheme="majorBidi" w:cstheme="majorBidi"/>
          <w:sz w:val="20"/>
          <w:szCs w:val="20"/>
        </w:rPr>
        <w:t>are</w:t>
      </w:r>
      <w:r w:rsidR="00FD342D" w:rsidRPr="00E314DF">
        <w:rPr>
          <w:rFonts w:asciiTheme="majorBidi" w:hAnsiTheme="majorBidi" w:cstheme="majorBidi"/>
          <w:sz w:val="20"/>
          <w:szCs w:val="20"/>
        </w:rPr>
        <w:t xml:space="preserve">. </w:t>
      </w:r>
      <w:r w:rsidRPr="00E314DF">
        <w:rPr>
          <w:rFonts w:asciiTheme="majorBidi" w:hAnsiTheme="majorBidi" w:cstheme="majorBidi"/>
          <w:sz w:val="20"/>
          <w:szCs w:val="20"/>
        </w:rPr>
        <w:t>Beyond psychosocial outcomes, tele-nursing provides measurable systemic advantages such as cost reduction, enhanced safety, and improved continuity of care.</w:t>
      </w:r>
      <w:r w:rsidR="001227AA">
        <w:rPr>
          <w:rFonts w:asciiTheme="majorBidi" w:hAnsiTheme="majorBidi" w:cstheme="majorBidi"/>
          <w:sz w:val="20"/>
          <w:szCs w:val="20"/>
        </w:rPr>
        <w:t xml:space="preserve"> </w:t>
      </w:r>
      <w:r w:rsidR="00FD342D" w:rsidRPr="00E314DF">
        <w:rPr>
          <w:rFonts w:asciiTheme="majorBidi" w:hAnsiTheme="majorBidi" w:cstheme="majorBidi"/>
          <w:sz w:val="20"/>
          <w:szCs w:val="20"/>
        </w:rPr>
        <w:t xml:space="preserve">Studies </w:t>
      </w:r>
      <w:r w:rsidR="00E314DF" w:rsidRPr="00E314DF">
        <w:rPr>
          <w:rFonts w:asciiTheme="majorBidi" w:hAnsiTheme="majorBidi" w:cstheme="majorBidi"/>
          <w:sz w:val="20"/>
          <w:szCs w:val="20"/>
        </w:rPr>
        <w:t xml:space="preserve">show that </w:t>
      </w:r>
      <w:r w:rsidRPr="00E314DF">
        <w:rPr>
          <w:rFonts w:asciiTheme="majorBidi" w:hAnsiTheme="majorBidi" w:cstheme="majorBidi"/>
          <w:sz w:val="20"/>
          <w:szCs w:val="20"/>
        </w:rPr>
        <w:t>tele-nursing lowered healthcare expenditures. Liu et al</w:t>
      </w:r>
      <w:r w:rsidR="00CC3548">
        <w:rPr>
          <w:rFonts w:asciiTheme="majorBidi" w:hAnsiTheme="majorBidi" w:cstheme="majorBidi"/>
          <w:sz w:val="20"/>
          <w:szCs w:val="20"/>
        </w:rPr>
        <w:t xml:space="preserve"> </w:t>
      </w:r>
      <w:r w:rsidRPr="00E314DF">
        <w:rPr>
          <w:rFonts w:asciiTheme="majorBidi" w:hAnsiTheme="majorBidi" w:cstheme="majorBidi"/>
          <w:sz w:val="20"/>
          <w:szCs w:val="20"/>
        </w:rPr>
        <w:t xml:space="preserve">confirmed remote monitoring prevents emergencies, while Moyle et al reported that nurse follow-ups maintain treatment adherence and enhance trust between patient and </w:t>
      </w:r>
      <w:proofErr w:type="gramStart"/>
      <w:r w:rsidRPr="00E314DF">
        <w:rPr>
          <w:rFonts w:asciiTheme="majorBidi" w:hAnsiTheme="majorBidi" w:cstheme="majorBidi"/>
          <w:sz w:val="20"/>
          <w:szCs w:val="20"/>
        </w:rPr>
        <w:t>provider.</w:t>
      </w:r>
      <w:r w:rsidR="00CC3548">
        <w:rPr>
          <w:rFonts w:asciiTheme="majorBidi" w:hAnsiTheme="majorBidi" w:cstheme="majorBidi"/>
          <w:sz w:val="20"/>
          <w:szCs w:val="20"/>
        </w:rPr>
        <w:t>[</w:t>
      </w:r>
      <w:proofErr w:type="gramEnd"/>
      <w:r w:rsidR="00CC3548">
        <w:rPr>
          <w:rFonts w:asciiTheme="majorBidi" w:hAnsiTheme="majorBidi" w:cstheme="majorBidi"/>
          <w:sz w:val="20"/>
          <w:szCs w:val="20"/>
        </w:rPr>
        <w:t>18,19]</w:t>
      </w:r>
    </w:p>
    <w:p w14:paraId="005EDADE" w14:textId="77777777" w:rsidR="007B7FA1" w:rsidRDefault="007B7FA1">
      <w:pPr>
        <w:rPr>
          <w:rFonts w:asciiTheme="majorBidi" w:hAnsiTheme="majorBidi" w:cstheme="majorBidi"/>
        </w:rPr>
      </w:pPr>
    </w:p>
    <w:p w14:paraId="6BA541A2" w14:textId="6E8B6EA2" w:rsidR="00F52217" w:rsidRPr="003A573A" w:rsidRDefault="00F5614E">
      <w:pPr>
        <w:rPr>
          <w:rFonts w:asciiTheme="majorBidi" w:hAnsiTheme="majorBidi" w:cstheme="majorBidi"/>
          <w:b/>
          <w:bCs/>
        </w:rPr>
      </w:pPr>
      <w:r w:rsidRPr="003A573A">
        <w:rPr>
          <w:rFonts w:asciiTheme="majorBidi" w:hAnsiTheme="majorBidi" w:cstheme="majorBidi"/>
        </w:rPr>
        <w:lastRenderedPageBreak/>
        <w:t xml:space="preserve"> </w:t>
      </w:r>
      <w:r w:rsidR="006511EC" w:rsidRPr="00C63AC9">
        <w:rPr>
          <w:rFonts w:asciiTheme="majorBidi" w:hAnsiTheme="majorBidi" w:cstheme="majorBidi"/>
          <w:b/>
          <w:bCs/>
        </w:rPr>
        <w:t>4.</w:t>
      </w:r>
      <w:r w:rsidRPr="003A573A">
        <w:rPr>
          <w:rFonts w:asciiTheme="majorBidi" w:hAnsiTheme="majorBidi" w:cstheme="majorBidi"/>
          <w:b/>
          <w:bCs/>
        </w:rPr>
        <w:t>Barriers to Effective Implementation</w:t>
      </w:r>
    </w:p>
    <w:p w14:paraId="5BD417DE" w14:textId="77777777" w:rsidR="003A573A" w:rsidRPr="003A573A" w:rsidRDefault="003A573A" w:rsidP="003A573A">
      <w:pPr>
        <w:spacing w:after="160" w:line="278" w:lineRule="auto"/>
        <w:rPr>
          <w:rFonts w:ascii="Times New Roman" w:eastAsia="Times New Roman" w:hAnsi="Times New Roman" w:cs="Times New Roman"/>
          <w:kern w:val="2"/>
          <w:sz w:val="20"/>
          <w:szCs w:val="20"/>
          <w14:ligatures w14:val="standardContextual"/>
        </w:rPr>
      </w:pPr>
      <w:r w:rsidRPr="003A573A">
        <w:rPr>
          <w:rFonts w:ascii="Times New Roman" w:eastAsia="Times New Roman" w:hAnsi="Times New Roman" w:cs="Times New Roman"/>
          <w:kern w:val="2"/>
          <w:sz w:val="20"/>
          <w:szCs w:val="20"/>
          <w14:ligatures w14:val="standardContextual"/>
        </w:rPr>
        <w:t>Despite its strong potential, tele-nursing faces several barriers that limit its adoption, accessibility, and effectiveness in elderly care</w:t>
      </w:r>
    </w:p>
    <w:p w14:paraId="72A497AE" w14:textId="0CC810FF" w:rsidR="003A573A" w:rsidRPr="003A573A" w:rsidRDefault="006511EC" w:rsidP="003A573A">
      <w:pPr>
        <w:spacing w:after="160" w:line="278" w:lineRule="auto"/>
        <w:rPr>
          <w:rFonts w:ascii="Times New Roman" w:eastAsia="Times New Roman" w:hAnsi="Times New Roman" w:cs="Times New Roman"/>
          <w:b/>
          <w:bCs/>
          <w:kern w:val="2"/>
          <w:sz w:val="20"/>
          <w:szCs w:val="20"/>
          <w14:ligatures w14:val="standardContextual"/>
        </w:rPr>
      </w:pPr>
      <w:r>
        <w:rPr>
          <w:rFonts w:ascii="Times New Roman" w:eastAsia="Times New Roman" w:hAnsi="Times New Roman" w:cs="Times New Roman"/>
          <w:kern w:val="2"/>
          <w:sz w:val="20"/>
          <w:szCs w:val="20"/>
          <w14:ligatures w14:val="standardContextual"/>
        </w:rPr>
        <w:t>4.</w:t>
      </w:r>
      <w:r w:rsidR="003A573A">
        <w:rPr>
          <w:rFonts w:ascii="Times New Roman" w:eastAsia="Times New Roman" w:hAnsi="Times New Roman" w:cs="Times New Roman"/>
          <w:kern w:val="2"/>
          <w:sz w:val="20"/>
          <w:szCs w:val="20"/>
          <w14:ligatures w14:val="standardContextual"/>
        </w:rPr>
        <w:t>1.</w:t>
      </w:r>
      <w:r w:rsidR="005D6A2B">
        <w:rPr>
          <w:rFonts w:ascii="Times New Roman" w:eastAsia="Times New Roman" w:hAnsi="Times New Roman" w:cs="Times New Roman"/>
          <w:kern w:val="2"/>
          <w:sz w:val="20"/>
          <w:szCs w:val="20"/>
          <w14:ligatures w14:val="standardContextual"/>
        </w:rPr>
        <w:t xml:space="preserve"> </w:t>
      </w:r>
      <w:proofErr w:type="gramStart"/>
      <w:r w:rsidR="003A573A" w:rsidRPr="003A573A">
        <w:rPr>
          <w:rFonts w:ascii="Times New Roman" w:eastAsia="Times New Roman" w:hAnsi="Times New Roman" w:cs="Times New Roman"/>
          <w:b/>
          <w:bCs/>
          <w:kern w:val="2"/>
          <w:sz w:val="20"/>
          <w:szCs w:val="20"/>
          <w14:ligatures w14:val="standardContextual"/>
        </w:rPr>
        <w:t>digital</w:t>
      </w:r>
      <w:proofErr w:type="gramEnd"/>
      <w:r w:rsidR="003A573A" w:rsidRPr="003A573A">
        <w:rPr>
          <w:rFonts w:ascii="Times New Roman" w:eastAsia="Times New Roman" w:hAnsi="Times New Roman" w:cs="Times New Roman"/>
          <w:b/>
          <w:bCs/>
          <w:kern w:val="2"/>
          <w:sz w:val="20"/>
          <w:szCs w:val="20"/>
          <w14:ligatures w14:val="standardContextual"/>
        </w:rPr>
        <w:t xml:space="preserve"> illiteracy</w:t>
      </w:r>
    </w:p>
    <w:p w14:paraId="231C4CEB" w14:textId="785ADBE2" w:rsidR="003A573A" w:rsidRPr="001227AA" w:rsidRDefault="003A573A" w:rsidP="001227AA">
      <w:pPr>
        <w:spacing w:after="160" w:line="278" w:lineRule="auto"/>
        <w:jc w:val="both"/>
        <w:rPr>
          <w:rFonts w:ascii="Times New Roman" w:eastAsia="Times New Roman" w:hAnsi="Times New Roman" w:cs="Times New Roman"/>
          <w:kern w:val="2"/>
          <w:sz w:val="20"/>
          <w:szCs w:val="20"/>
          <w14:ligatures w14:val="standardContextual"/>
        </w:rPr>
      </w:pPr>
      <w:r w:rsidRPr="003A573A">
        <w:rPr>
          <w:rFonts w:ascii="Times New Roman" w:eastAsia="Times New Roman" w:hAnsi="Times New Roman" w:cs="Times New Roman"/>
          <w:kern w:val="2"/>
          <w:sz w:val="20"/>
          <w:szCs w:val="20"/>
          <w14:ligatures w14:val="standardContextual"/>
        </w:rPr>
        <w:t>Many older adults lack familiarity with smartphones, tablets, or telehealth platforms, making it difficult for them to engage fully with remote services. This barrier is more pronounced among individuals with lower socioeconomic status or limited formal education. Studies have shown that inadequate digital skills significantly reduce participation in telehealth programs and compromise the continuity of care [23].</w:t>
      </w:r>
    </w:p>
    <w:p w14:paraId="2E856804" w14:textId="77777777" w:rsidR="009B2B92" w:rsidRDefault="009B2B92" w:rsidP="003A573A">
      <w:pPr>
        <w:spacing w:after="160" w:line="278" w:lineRule="auto"/>
        <w:rPr>
          <w:rFonts w:ascii="Times New Roman" w:eastAsia="Times New Roman" w:hAnsi="Times New Roman" w:cs="Times New Roman"/>
          <w:b/>
          <w:bCs/>
          <w:kern w:val="2"/>
          <w:sz w:val="20"/>
          <w:szCs w:val="20"/>
          <w14:ligatures w14:val="standardContextual"/>
        </w:rPr>
      </w:pPr>
    </w:p>
    <w:p w14:paraId="74C4EB07" w14:textId="7240B623" w:rsidR="003A573A" w:rsidRPr="003A573A" w:rsidRDefault="006511EC" w:rsidP="003A573A">
      <w:pPr>
        <w:spacing w:after="160" w:line="278" w:lineRule="auto"/>
        <w:rPr>
          <w:rFonts w:ascii="Times New Roman" w:eastAsia="Times New Roman" w:hAnsi="Times New Roman" w:cs="Times New Roman"/>
          <w:b/>
          <w:bCs/>
          <w:kern w:val="2"/>
          <w:sz w:val="20"/>
          <w:szCs w:val="20"/>
          <w14:ligatures w14:val="standardContextual"/>
        </w:rPr>
      </w:pPr>
      <w:r>
        <w:rPr>
          <w:rFonts w:ascii="Times New Roman" w:eastAsia="Times New Roman" w:hAnsi="Times New Roman" w:cs="Times New Roman"/>
          <w:b/>
          <w:bCs/>
          <w:kern w:val="2"/>
          <w:sz w:val="20"/>
          <w:szCs w:val="20"/>
          <w14:ligatures w14:val="standardContextual"/>
        </w:rPr>
        <w:t>4.</w:t>
      </w:r>
      <w:r w:rsidR="003A573A">
        <w:rPr>
          <w:rFonts w:ascii="Times New Roman" w:eastAsia="Times New Roman" w:hAnsi="Times New Roman" w:cs="Times New Roman"/>
          <w:b/>
          <w:bCs/>
          <w:kern w:val="2"/>
          <w:sz w:val="20"/>
          <w:szCs w:val="20"/>
          <w14:ligatures w14:val="standardContextual"/>
        </w:rPr>
        <w:t>2.</w:t>
      </w:r>
      <w:r w:rsidR="005D6A2B">
        <w:rPr>
          <w:rFonts w:ascii="Times New Roman" w:eastAsia="Times New Roman" w:hAnsi="Times New Roman" w:cs="Times New Roman"/>
          <w:b/>
          <w:bCs/>
          <w:kern w:val="2"/>
          <w:sz w:val="20"/>
          <w:szCs w:val="20"/>
          <w14:ligatures w14:val="standardContextual"/>
        </w:rPr>
        <w:t xml:space="preserve"> </w:t>
      </w:r>
      <w:proofErr w:type="gramStart"/>
      <w:r w:rsidR="003A573A" w:rsidRPr="003A573A">
        <w:rPr>
          <w:rFonts w:ascii="Times New Roman" w:eastAsia="Times New Roman" w:hAnsi="Times New Roman" w:cs="Times New Roman"/>
          <w:b/>
          <w:bCs/>
          <w:kern w:val="2"/>
          <w:sz w:val="20"/>
          <w:szCs w:val="20"/>
          <w14:ligatures w14:val="standardContextual"/>
        </w:rPr>
        <w:t>technological</w:t>
      </w:r>
      <w:proofErr w:type="gramEnd"/>
      <w:r w:rsidR="003A573A" w:rsidRPr="003A573A">
        <w:rPr>
          <w:rFonts w:ascii="Times New Roman" w:eastAsia="Times New Roman" w:hAnsi="Times New Roman" w:cs="Times New Roman"/>
          <w:b/>
          <w:bCs/>
          <w:kern w:val="2"/>
          <w:sz w:val="20"/>
          <w:szCs w:val="20"/>
          <w14:ligatures w14:val="standardContextual"/>
        </w:rPr>
        <w:t xml:space="preserve"> infrastructure</w:t>
      </w:r>
    </w:p>
    <w:p w14:paraId="417964A1" w14:textId="77777777" w:rsidR="003A573A" w:rsidRPr="003A573A" w:rsidRDefault="003A573A" w:rsidP="003A573A">
      <w:pPr>
        <w:spacing w:after="160" w:line="278" w:lineRule="auto"/>
        <w:jc w:val="both"/>
        <w:rPr>
          <w:rFonts w:ascii="Times New Roman" w:eastAsia="Times New Roman" w:hAnsi="Times New Roman" w:cs="Times New Roman"/>
          <w:kern w:val="2"/>
          <w:sz w:val="20"/>
          <w:szCs w:val="20"/>
          <w14:ligatures w14:val="standardContextual"/>
        </w:rPr>
      </w:pPr>
      <w:bookmarkStart w:id="0" w:name="_Hlk214039838"/>
      <w:r w:rsidRPr="003A573A">
        <w:rPr>
          <w:rFonts w:ascii="Times New Roman" w:eastAsia="Times New Roman" w:hAnsi="Times New Roman" w:cs="Times New Roman"/>
          <w:kern w:val="2"/>
          <w:sz w:val="20"/>
          <w:szCs w:val="20"/>
          <w14:ligatures w14:val="standardContextual"/>
        </w:rPr>
        <w:t>Technological infrastructure</w:t>
      </w:r>
      <w:bookmarkEnd w:id="0"/>
      <w:r w:rsidRPr="003A573A">
        <w:rPr>
          <w:rFonts w:ascii="Times New Roman" w:eastAsia="Times New Roman" w:hAnsi="Times New Roman" w:cs="Times New Roman"/>
          <w:kern w:val="2"/>
          <w:sz w:val="20"/>
          <w:szCs w:val="20"/>
          <w14:ligatures w14:val="standardContextual"/>
        </w:rPr>
        <w:t xml:space="preserve"> poses a major challenge. Poor internet connectivity, lack of reliable devices, and inconsistent access to electricity—especially in rural or low-income regions—limit the use of real-time remote monitoring and video consultations. Tele-nursing systems rely heavily on stable connections to collect accurate data and maintain communication, and disruptions can hinder timely interventions [11].</w:t>
      </w:r>
    </w:p>
    <w:p w14:paraId="6237393F" w14:textId="77777777" w:rsidR="009B2B92" w:rsidRDefault="009B2B92" w:rsidP="003A573A">
      <w:pPr>
        <w:spacing w:after="160" w:line="278" w:lineRule="auto"/>
        <w:rPr>
          <w:rFonts w:ascii="Times New Roman" w:eastAsia="Times New Roman" w:hAnsi="Times New Roman" w:cs="Times New Roman"/>
          <w:b/>
          <w:bCs/>
          <w:kern w:val="2"/>
          <w:sz w:val="20"/>
          <w:szCs w:val="20"/>
          <w14:ligatures w14:val="standardContextual"/>
        </w:rPr>
      </w:pPr>
    </w:p>
    <w:p w14:paraId="69163C58" w14:textId="37986310" w:rsidR="003A573A" w:rsidRPr="003A573A" w:rsidRDefault="006511EC" w:rsidP="003A573A">
      <w:pPr>
        <w:spacing w:after="160" w:line="278" w:lineRule="auto"/>
        <w:rPr>
          <w:rFonts w:ascii="Times New Roman" w:eastAsia="Times New Roman" w:hAnsi="Times New Roman" w:cs="Times New Roman"/>
          <w:b/>
          <w:bCs/>
          <w:kern w:val="2"/>
          <w:sz w:val="20"/>
          <w:szCs w:val="20"/>
          <w14:ligatures w14:val="standardContextual"/>
        </w:rPr>
      </w:pPr>
      <w:r>
        <w:rPr>
          <w:rFonts w:ascii="Times New Roman" w:eastAsia="Times New Roman" w:hAnsi="Times New Roman" w:cs="Times New Roman"/>
          <w:b/>
          <w:bCs/>
          <w:kern w:val="2"/>
          <w:sz w:val="20"/>
          <w:szCs w:val="20"/>
          <w14:ligatures w14:val="standardContextual"/>
        </w:rPr>
        <w:t>4.</w:t>
      </w:r>
      <w:r w:rsidR="003A573A">
        <w:rPr>
          <w:rFonts w:ascii="Times New Roman" w:eastAsia="Times New Roman" w:hAnsi="Times New Roman" w:cs="Times New Roman"/>
          <w:b/>
          <w:bCs/>
          <w:kern w:val="2"/>
          <w:sz w:val="20"/>
          <w:szCs w:val="20"/>
          <w14:ligatures w14:val="standardContextual"/>
        </w:rPr>
        <w:t>3.</w:t>
      </w:r>
      <w:r w:rsidR="005D6A2B">
        <w:rPr>
          <w:rFonts w:ascii="Times New Roman" w:eastAsia="Times New Roman" w:hAnsi="Times New Roman" w:cs="Times New Roman"/>
          <w:b/>
          <w:bCs/>
          <w:kern w:val="2"/>
          <w:sz w:val="20"/>
          <w:szCs w:val="20"/>
          <w14:ligatures w14:val="standardContextual"/>
        </w:rPr>
        <w:t xml:space="preserve"> </w:t>
      </w:r>
      <w:proofErr w:type="gramStart"/>
      <w:r w:rsidR="003A573A" w:rsidRPr="003A573A">
        <w:rPr>
          <w:rFonts w:ascii="Times New Roman" w:eastAsia="Times New Roman" w:hAnsi="Times New Roman" w:cs="Times New Roman"/>
          <w:b/>
          <w:bCs/>
          <w:kern w:val="2"/>
          <w:sz w:val="20"/>
          <w:szCs w:val="20"/>
          <w14:ligatures w14:val="standardContextual"/>
        </w:rPr>
        <w:t>Privacy</w:t>
      </w:r>
      <w:proofErr w:type="gramEnd"/>
    </w:p>
    <w:p w14:paraId="1515DD3B" w14:textId="77777777" w:rsidR="003A573A" w:rsidRPr="003A573A" w:rsidRDefault="003A573A" w:rsidP="003A573A">
      <w:pPr>
        <w:spacing w:after="160" w:line="278" w:lineRule="auto"/>
        <w:jc w:val="both"/>
        <w:rPr>
          <w:rFonts w:ascii="Times New Roman" w:eastAsia="Times New Roman" w:hAnsi="Times New Roman" w:cs="Times New Roman"/>
          <w:kern w:val="2"/>
          <w:sz w:val="20"/>
          <w:szCs w:val="20"/>
          <w14:ligatures w14:val="standardContextual"/>
        </w:rPr>
      </w:pPr>
      <w:bookmarkStart w:id="1" w:name="_Hlk214039872"/>
      <w:r w:rsidRPr="003A573A">
        <w:rPr>
          <w:rFonts w:ascii="Times New Roman" w:eastAsia="Times New Roman" w:hAnsi="Times New Roman" w:cs="Times New Roman"/>
          <w:kern w:val="2"/>
          <w:sz w:val="20"/>
          <w:szCs w:val="20"/>
          <w14:ligatures w14:val="standardContextual"/>
        </w:rPr>
        <w:t xml:space="preserve">Privacy, </w:t>
      </w:r>
      <w:bookmarkEnd w:id="1"/>
      <w:r w:rsidRPr="003A573A">
        <w:rPr>
          <w:rFonts w:ascii="Times New Roman" w:eastAsia="Times New Roman" w:hAnsi="Times New Roman" w:cs="Times New Roman"/>
          <w:kern w:val="2"/>
          <w:sz w:val="20"/>
          <w:szCs w:val="20"/>
          <w14:ligatures w14:val="standardContextual"/>
        </w:rPr>
        <w:t>confidentiality, and data security also represent critical obstacles. Older adults often express concerns about unauthorized access to their medical information or misuse of digital data. These fears contribute to mistrust and reluctance to adopt remote nursing technologies. Health systems must implement strong cybersecurity protocols and provide clear patient education to improve comfort with digital platforms.</w:t>
      </w:r>
    </w:p>
    <w:p w14:paraId="0576AF73" w14:textId="77777777" w:rsidR="009B2B92" w:rsidRDefault="009B2B92" w:rsidP="003A573A">
      <w:pPr>
        <w:spacing w:after="160" w:line="278" w:lineRule="auto"/>
        <w:rPr>
          <w:rFonts w:ascii="Times New Roman" w:eastAsia="Times New Roman" w:hAnsi="Times New Roman" w:cs="Times New Roman"/>
          <w:b/>
          <w:bCs/>
          <w:kern w:val="2"/>
          <w:sz w:val="20"/>
          <w:szCs w:val="20"/>
          <w14:ligatures w14:val="standardContextual"/>
        </w:rPr>
      </w:pPr>
    </w:p>
    <w:p w14:paraId="02D4CB12" w14:textId="6C1D2A83" w:rsidR="003A573A" w:rsidRPr="003A573A" w:rsidRDefault="006511EC" w:rsidP="003A573A">
      <w:pPr>
        <w:spacing w:after="160" w:line="278" w:lineRule="auto"/>
        <w:rPr>
          <w:rFonts w:ascii="Times New Roman" w:eastAsia="Times New Roman" w:hAnsi="Times New Roman" w:cs="Times New Roman"/>
          <w:b/>
          <w:bCs/>
          <w:kern w:val="2"/>
          <w:sz w:val="20"/>
          <w:szCs w:val="20"/>
          <w14:ligatures w14:val="standardContextual"/>
        </w:rPr>
      </w:pPr>
      <w:r>
        <w:rPr>
          <w:rFonts w:ascii="Times New Roman" w:eastAsia="Times New Roman" w:hAnsi="Times New Roman" w:cs="Times New Roman"/>
          <w:b/>
          <w:bCs/>
          <w:kern w:val="2"/>
          <w:sz w:val="20"/>
          <w:szCs w:val="20"/>
          <w14:ligatures w14:val="standardContextual"/>
        </w:rPr>
        <w:t>4.</w:t>
      </w:r>
      <w:r w:rsidR="003A573A">
        <w:rPr>
          <w:rFonts w:ascii="Times New Roman" w:eastAsia="Times New Roman" w:hAnsi="Times New Roman" w:cs="Times New Roman"/>
          <w:b/>
          <w:bCs/>
          <w:kern w:val="2"/>
          <w:sz w:val="20"/>
          <w:szCs w:val="20"/>
          <w14:ligatures w14:val="standardContextual"/>
        </w:rPr>
        <w:t>4.</w:t>
      </w:r>
      <w:r w:rsidR="005D6A2B">
        <w:rPr>
          <w:rFonts w:ascii="Times New Roman" w:eastAsia="Times New Roman" w:hAnsi="Times New Roman" w:cs="Times New Roman"/>
          <w:b/>
          <w:bCs/>
          <w:kern w:val="2"/>
          <w:sz w:val="20"/>
          <w:szCs w:val="20"/>
          <w14:ligatures w14:val="standardContextual"/>
        </w:rPr>
        <w:t xml:space="preserve"> </w:t>
      </w:r>
      <w:proofErr w:type="gramStart"/>
      <w:r w:rsidR="003A573A" w:rsidRPr="003A573A">
        <w:rPr>
          <w:rFonts w:ascii="Times New Roman" w:eastAsia="Times New Roman" w:hAnsi="Times New Roman" w:cs="Times New Roman"/>
          <w:b/>
          <w:bCs/>
          <w:kern w:val="2"/>
          <w:sz w:val="20"/>
          <w:szCs w:val="20"/>
          <w14:ligatures w14:val="standardContextual"/>
        </w:rPr>
        <w:t>Cultural</w:t>
      </w:r>
      <w:proofErr w:type="gramEnd"/>
      <w:r w:rsidR="003A573A" w:rsidRPr="003A573A">
        <w:rPr>
          <w:rFonts w:ascii="Times New Roman" w:eastAsia="Times New Roman" w:hAnsi="Times New Roman" w:cs="Times New Roman"/>
          <w:b/>
          <w:bCs/>
          <w:kern w:val="2"/>
          <w:sz w:val="20"/>
          <w:szCs w:val="20"/>
          <w14:ligatures w14:val="standardContextual"/>
        </w:rPr>
        <w:t xml:space="preserve"> and social barriers</w:t>
      </w:r>
    </w:p>
    <w:p w14:paraId="387F3294" w14:textId="77777777" w:rsidR="003A573A" w:rsidRPr="003A573A" w:rsidRDefault="003A573A" w:rsidP="003A573A">
      <w:pPr>
        <w:spacing w:after="160" w:line="278" w:lineRule="auto"/>
        <w:jc w:val="both"/>
        <w:rPr>
          <w:rFonts w:ascii="Times New Roman" w:eastAsia="Times New Roman" w:hAnsi="Times New Roman" w:cs="Times New Roman"/>
          <w:kern w:val="2"/>
          <w:sz w:val="20"/>
          <w:szCs w:val="20"/>
          <w14:ligatures w14:val="standardContextual"/>
        </w:rPr>
      </w:pPr>
      <w:bookmarkStart w:id="2" w:name="_Hlk214039957"/>
      <w:r w:rsidRPr="003A573A">
        <w:rPr>
          <w:rFonts w:ascii="Times New Roman" w:eastAsia="Times New Roman" w:hAnsi="Times New Roman" w:cs="Times New Roman"/>
          <w:kern w:val="2"/>
          <w:sz w:val="20"/>
          <w:szCs w:val="20"/>
          <w14:ligatures w14:val="standardContextual"/>
        </w:rPr>
        <w:t xml:space="preserve">Cultural and social barriers </w:t>
      </w:r>
      <w:bookmarkEnd w:id="2"/>
      <w:r w:rsidRPr="003A573A">
        <w:rPr>
          <w:rFonts w:ascii="Times New Roman" w:eastAsia="Times New Roman" w:hAnsi="Times New Roman" w:cs="Times New Roman"/>
          <w:kern w:val="2"/>
          <w:sz w:val="20"/>
          <w:szCs w:val="20"/>
          <w14:ligatures w14:val="standardContextual"/>
        </w:rPr>
        <w:t>further hinder adoption. In many communities, in-person care is perceived as more trustworthy and “real.” Older adults may view technology as impersonal or fear that tele-nursing could replace human contact rather than complement it. This cultural resistance is stronger among populations with limited prior exposure to digital tools [24].</w:t>
      </w:r>
    </w:p>
    <w:p w14:paraId="10D41ADF" w14:textId="77777777" w:rsidR="009B2B92" w:rsidRDefault="009B2B92" w:rsidP="003A573A">
      <w:pPr>
        <w:spacing w:after="160" w:line="278" w:lineRule="auto"/>
        <w:rPr>
          <w:rFonts w:ascii="Times New Roman" w:eastAsia="Times New Roman" w:hAnsi="Times New Roman" w:cs="Times New Roman"/>
          <w:b/>
          <w:bCs/>
          <w:kern w:val="2"/>
          <w:sz w:val="20"/>
          <w:szCs w:val="20"/>
          <w14:ligatures w14:val="standardContextual"/>
        </w:rPr>
      </w:pPr>
    </w:p>
    <w:p w14:paraId="02C424B9" w14:textId="35F4CB4B" w:rsidR="003A573A" w:rsidRPr="003A573A" w:rsidRDefault="006511EC" w:rsidP="003A573A">
      <w:pPr>
        <w:spacing w:after="160" w:line="278" w:lineRule="auto"/>
        <w:rPr>
          <w:rFonts w:ascii="Times New Roman" w:eastAsia="Times New Roman" w:hAnsi="Times New Roman" w:cs="Times New Roman"/>
          <w:b/>
          <w:bCs/>
          <w:kern w:val="2"/>
          <w:sz w:val="20"/>
          <w:szCs w:val="20"/>
          <w14:ligatures w14:val="standardContextual"/>
        </w:rPr>
      </w:pPr>
      <w:r>
        <w:rPr>
          <w:rFonts w:ascii="Times New Roman" w:eastAsia="Times New Roman" w:hAnsi="Times New Roman" w:cs="Times New Roman"/>
          <w:b/>
          <w:bCs/>
          <w:kern w:val="2"/>
          <w:sz w:val="20"/>
          <w:szCs w:val="20"/>
          <w14:ligatures w14:val="standardContextual"/>
        </w:rPr>
        <w:t>4.</w:t>
      </w:r>
      <w:r w:rsidR="003A573A">
        <w:rPr>
          <w:rFonts w:ascii="Times New Roman" w:eastAsia="Times New Roman" w:hAnsi="Times New Roman" w:cs="Times New Roman"/>
          <w:b/>
          <w:bCs/>
          <w:kern w:val="2"/>
          <w:sz w:val="20"/>
          <w:szCs w:val="20"/>
          <w14:ligatures w14:val="standardContextual"/>
        </w:rPr>
        <w:t>5.</w:t>
      </w:r>
      <w:r w:rsidR="005D6A2B">
        <w:rPr>
          <w:rFonts w:ascii="Times New Roman" w:eastAsia="Times New Roman" w:hAnsi="Times New Roman" w:cs="Times New Roman"/>
          <w:b/>
          <w:bCs/>
          <w:kern w:val="2"/>
          <w:sz w:val="20"/>
          <w:szCs w:val="20"/>
          <w14:ligatures w14:val="standardContextual"/>
        </w:rPr>
        <w:t xml:space="preserve"> </w:t>
      </w:r>
      <w:proofErr w:type="gramStart"/>
      <w:r w:rsidR="003A573A" w:rsidRPr="003A573A">
        <w:rPr>
          <w:rFonts w:ascii="Times New Roman" w:eastAsia="Times New Roman" w:hAnsi="Times New Roman" w:cs="Times New Roman"/>
          <w:b/>
          <w:bCs/>
          <w:kern w:val="2"/>
          <w:sz w:val="20"/>
          <w:szCs w:val="20"/>
          <w14:ligatures w14:val="standardContextual"/>
        </w:rPr>
        <w:t>Nursing</w:t>
      </w:r>
      <w:proofErr w:type="gramEnd"/>
      <w:r w:rsidR="003A573A" w:rsidRPr="003A573A">
        <w:rPr>
          <w:rFonts w:ascii="Times New Roman" w:eastAsia="Times New Roman" w:hAnsi="Times New Roman" w:cs="Times New Roman"/>
          <w:b/>
          <w:bCs/>
          <w:kern w:val="2"/>
          <w:sz w:val="20"/>
          <w:szCs w:val="20"/>
          <w14:ligatures w14:val="standardContextual"/>
        </w:rPr>
        <w:t xml:space="preserve"> workforce</w:t>
      </w:r>
    </w:p>
    <w:p w14:paraId="39C1863A" w14:textId="77777777" w:rsidR="003A573A" w:rsidRPr="003A573A" w:rsidRDefault="003A573A" w:rsidP="003A573A">
      <w:pPr>
        <w:spacing w:after="160" w:line="278" w:lineRule="auto"/>
        <w:jc w:val="both"/>
        <w:rPr>
          <w:rFonts w:ascii="Times New Roman" w:eastAsia="Times New Roman" w:hAnsi="Times New Roman" w:cs="Times New Roman"/>
          <w:kern w:val="2"/>
          <w:sz w:val="20"/>
          <w:szCs w:val="20"/>
          <w14:ligatures w14:val="standardContextual"/>
        </w:rPr>
      </w:pPr>
      <w:r w:rsidRPr="003A573A">
        <w:rPr>
          <w:rFonts w:ascii="Times New Roman" w:eastAsia="Times New Roman" w:hAnsi="Times New Roman" w:cs="Times New Roman"/>
          <w:kern w:val="2"/>
          <w:sz w:val="20"/>
          <w:szCs w:val="20"/>
          <w14:ligatures w14:val="standardContextual"/>
        </w:rPr>
        <w:t>The nursing workforce also faces barriers. Many nurses require additional training in digital health, virtual communication, and remote assessment. Without institutional support, nurses may experience increased workload, stress, and uncertainty regarding their roles in telehealth environments. Training gaps and workflow inefficiencies reduce the consistency and quality of tele-nursing services.</w:t>
      </w:r>
    </w:p>
    <w:p w14:paraId="148A7410" w14:textId="77777777" w:rsidR="009B2B92" w:rsidRDefault="009B2B92" w:rsidP="003A573A">
      <w:pPr>
        <w:spacing w:after="160" w:line="278" w:lineRule="auto"/>
        <w:rPr>
          <w:rFonts w:ascii="Times New Roman" w:eastAsia="Times New Roman" w:hAnsi="Times New Roman" w:cs="Times New Roman"/>
          <w:b/>
          <w:bCs/>
          <w:kern w:val="2"/>
          <w:sz w:val="20"/>
          <w:szCs w:val="20"/>
          <w14:ligatures w14:val="standardContextual"/>
        </w:rPr>
      </w:pPr>
    </w:p>
    <w:p w14:paraId="504741AD" w14:textId="0B27BEB6" w:rsidR="003A573A" w:rsidRPr="003A573A" w:rsidRDefault="006511EC" w:rsidP="003A573A">
      <w:pPr>
        <w:spacing w:after="160" w:line="278" w:lineRule="auto"/>
        <w:rPr>
          <w:rFonts w:ascii="Times New Roman" w:eastAsia="Times New Roman" w:hAnsi="Times New Roman" w:cs="Times New Roman"/>
          <w:b/>
          <w:bCs/>
          <w:kern w:val="2"/>
          <w:sz w:val="20"/>
          <w:szCs w:val="20"/>
          <w14:ligatures w14:val="standardContextual"/>
        </w:rPr>
      </w:pPr>
      <w:r>
        <w:rPr>
          <w:rFonts w:ascii="Times New Roman" w:eastAsia="Times New Roman" w:hAnsi="Times New Roman" w:cs="Times New Roman"/>
          <w:b/>
          <w:bCs/>
          <w:kern w:val="2"/>
          <w:sz w:val="20"/>
          <w:szCs w:val="20"/>
          <w14:ligatures w14:val="standardContextual"/>
        </w:rPr>
        <w:t>4.</w:t>
      </w:r>
      <w:r w:rsidR="003A573A">
        <w:rPr>
          <w:rFonts w:ascii="Times New Roman" w:eastAsia="Times New Roman" w:hAnsi="Times New Roman" w:cs="Times New Roman"/>
          <w:b/>
          <w:bCs/>
          <w:kern w:val="2"/>
          <w:sz w:val="20"/>
          <w:szCs w:val="20"/>
          <w14:ligatures w14:val="standardContextual"/>
        </w:rPr>
        <w:t>6.</w:t>
      </w:r>
      <w:r w:rsidR="005D6A2B">
        <w:rPr>
          <w:rFonts w:ascii="Times New Roman" w:eastAsia="Times New Roman" w:hAnsi="Times New Roman" w:cs="Times New Roman"/>
          <w:b/>
          <w:bCs/>
          <w:kern w:val="2"/>
          <w:sz w:val="20"/>
          <w:szCs w:val="20"/>
          <w14:ligatures w14:val="standardContextual"/>
        </w:rPr>
        <w:t xml:space="preserve"> </w:t>
      </w:r>
      <w:proofErr w:type="gramStart"/>
      <w:r w:rsidR="003A573A" w:rsidRPr="003A573A">
        <w:rPr>
          <w:rFonts w:ascii="Times New Roman" w:eastAsia="Times New Roman" w:hAnsi="Times New Roman" w:cs="Times New Roman"/>
          <w:b/>
          <w:bCs/>
          <w:kern w:val="2"/>
          <w:sz w:val="20"/>
          <w:szCs w:val="20"/>
          <w14:ligatures w14:val="standardContextual"/>
        </w:rPr>
        <w:t>Health</w:t>
      </w:r>
      <w:proofErr w:type="gramEnd"/>
      <w:r w:rsidR="003A573A" w:rsidRPr="003A573A">
        <w:rPr>
          <w:rFonts w:ascii="Times New Roman" w:eastAsia="Times New Roman" w:hAnsi="Times New Roman" w:cs="Times New Roman"/>
          <w:b/>
          <w:bCs/>
          <w:kern w:val="2"/>
          <w:sz w:val="20"/>
          <w:szCs w:val="20"/>
          <w14:ligatures w14:val="standardContextual"/>
        </w:rPr>
        <w:t xml:space="preserve"> system inequality</w:t>
      </w:r>
    </w:p>
    <w:p w14:paraId="2064044F" w14:textId="1723AF92" w:rsidR="003A573A" w:rsidRPr="003A573A" w:rsidRDefault="003A573A" w:rsidP="003A573A">
      <w:pPr>
        <w:spacing w:after="160" w:line="278" w:lineRule="auto"/>
        <w:jc w:val="both"/>
        <w:rPr>
          <w:rFonts w:ascii="Aptos" w:eastAsia="Times New Roman" w:hAnsi="Aptos" w:cs="Arial"/>
          <w:kern w:val="2"/>
          <w:sz w:val="24"/>
          <w:szCs w:val="24"/>
          <w14:ligatures w14:val="standardContextual"/>
        </w:rPr>
      </w:pPr>
      <w:r w:rsidRPr="003A573A">
        <w:rPr>
          <w:rFonts w:ascii="Times New Roman" w:eastAsia="Times New Roman" w:hAnsi="Times New Roman" w:cs="Times New Roman"/>
          <w:kern w:val="2"/>
          <w:sz w:val="20"/>
          <w:szCs w:val="20"/>
          <w14:ligatures w14:val="standardContextual"/>
        </w:rPr>
        <w:lastRenderedPageBreak/>
        <w:t>Another significant barrier is health system inequality. In developing regions, insufficient funding, limited telehealth infrastructure, and a lack of national digital health policies hinder the long-term sustainability of tele-nursing programs [20]. Even where technology exists, some health systems struggle to integrate tele-nursing into routine workflows due to fragmented electronic health records and lack of interoperability</w:t>
      </w:r>
      <w:r w:rsidRPr="003A573A">
        <w:rPr>
          <w:rFonts w:ascii="Aptos" w:eastAsia="Times New Roman" w:hAnsi="Aptos" w:cs="Arial"/>
          <w:kern w:val="2"/>
          <w:sz w:val="24"/>
          <w:szCs w:val="24"/>
          <w14:ligatures w14:val="standardContextual"/>
        </w:rPr>
        <w:t>.</w:t>
      </w:r>
    </w:p>
    <w:p w14:paraId="15DA87F7" w14:textId="77777777" w:rsidR="009B2B92" w:rsidRDefault="009B2B92" w:rsidP="003A573A">
      <w:pPr>
        <w:spacing w:after="160" w:line="278" w:lineRule="auto"/>
        <w:rPr>
          <w:rFonts w:ascii="Times New Roman" w:eastAsia="Times New Roman" w:hAnsi="Times New Roman" w:cs="Times New Roman"/>
          <w:b/>
          <w:bCs/>
          <w:kern w:val="2"/>
          <w:sz w:val="20"/>
          <w:szCs w:val="20"/>
          <w14:ligatures w14:val="standardContextual"/>
        </w:rPr>
      </w:pPr>
    </w:p>
    <w:p w14:paraId="38062058" w14:textId="0ECC0404" w:rsidR="003A573A" w:rsidRPr="003A573A" w:rsidRDefault="006511EC" w:rsidP="003A573A">
      <w:pPr>
        <w:spacing w:after="160" w:line="278" w:lineRule="auto"/>
        <w:rPr>
          <w:rFonts w:ascii="Times New Roman" w:eastAsia="Times New Roman" w:hAnsi="Times New Roman" w:cs="Times New Roman"/>
          <w:b/>
          <w:bCs/>
          <w:kern w:val="2"/>
          <w:sz w:val="20"/>
          <w:szCs w:val="20"/>
          <w14:ligatures w14:val="standardContextual"/>
        </w:rPr>
      </w:pPr>
      <w:r>
        <w:rPr>
          <w:rFonts w:ascii="Times New Roman" w:eastAsia="Times New Roman" w:hAnsi="Times New Roman" w:cs="Times New Roman"/>
          <w:b/>
          <w:bCs/>
          <w:kern w:val="2"/>
          <w:sz w:val="20"/>
          <w:szCs w:val="20"/>
          <w14:ligatures w14:val="standardContextual"/>
        </w:rPr>
        <w:t>4.</w:t>
      </w:r>
      <w:r w:rsidR="003A573A">
        <w:rPr>
          <w:rFonts w:ascii="Times New Roman" w:eastAsia="Times New Roman" w:hAnsi="Times New Roman" w:cs="Times New Roman"/>
          <w:b/>
          <w:bCs/>
          <w:kern w:val="2"/>
          <w:sz w:val="20"/>
          <w:szCs w:val="20"/>
          <w14:ligatures w14:val="standardContextual"/>
        </w:rPr>
        <w:t>7.</w:t>
      </w:r>
      <w:r w:rsidR="005D6A2B">
        <w:rPr>
          <w:rFonts w:ascii="Times New Roman" w:eastAsia="Times New Roman" w:hAnsi="Times New Roman" w:cs="Times New Roman"/>
          <w:b/>
          <w:bCs/>
          <w:kern w:val="2"/>
          <w:sz w:val="20"/>
          <w:szCs w:val="20"/>
          <w14:ligatures w14:val="standardContextual"/>
        </w:rPr>
        <w:t xml:space="preserve"> </w:t>
      </w:r>
      <w:proofErr w:type="gramStart"/>
      <w:r w:rsidR="003A573A" w:rsidRPr="003A573A">
        <w:rPr>
          <w:rFonts w:ascii="Times New Roman" w:eastAsia="Times New Roman" w:hAnsi="Times New Roman" w:cs="Times New Roman"/>
          <w:b/>
          <w:bCs/>
          <w:kern w:val="2"/>
          <w:sz w:val="20"/>
          <w:szCs w:val="20"/>
          <w14:ligatures w14:val="standardContextual"/>
        </w:rPr>
        <w:t>Age</w:t>
      </w:r>
      <w:proofErr w:type="gramEnd"/>
      <w:r w:rsidR="003A573A" w:rsidRPr="003A573A">
        <w:rPr>
          <w:rFonts w:ascii="Times New Roman" w:eastAsia="Times New Roman" w:hAnsi="Times New Roman" w:cs="Times New Roman"/>
          <w:b/>
          <w:bCs/>
          <w:kern w:val="2"/>
          <w:sz w:val="20"/>
          <w:szCs w:val="20"/>
          <w14:ligatures w14:val="standardContextual"/>
        </w:rPr>
        <w:t xml:space="preserve"> related barriers</w:t>
      </w:r>
    </w:p>
    <w:p w14:paraId="5E139B0C" w14:textId="3D3FB917" w:rsidR="003A573A" w:rsidRDefault="003A573A" w:rsidP="003A573A">
      <w:pPr>
        <w:spacing w:after="160" w:line="278" w:lineRule="auto"/>
        <w:jc w:val="both"/>
        <w:rPr>
          <w:rFonts w:ascii="Times New Roman" w:eastAsia="Times New Roman" w:hAnsi="Times New Roman" w:cs="Times New Roman"/>
          <w:kern w:val="2"/>
          <w:sz w:val="20"/>
          <w:szCs w:val="20"/>
          <w14:ligatures w14:val="standardContextual"/>
        </w:rPr>
      </w:pPr>
      <w:r w:rsidRPr="003A573A">
        <w:rPr>
          <w:rFonts w:ascii="Times New Roman" w:eastAsia="Times New Roman" w:hAnsi="Times New Roman" w:cs="Times New Roman"/>
          <w:kern w:val="2"/>
          <w:sz w:val="20"/>
          <w:szCs w:val="20"/>
          <w14:ligatures w14:val="standardContextual"/>
        </w:rPr>
        <w:t>older adults with sensory deficits</w:t>
      </w:r>
      <w:r w:rsidR="005D6A2B">
        <w:rPr>
          <w:rFonts w:ascii="Times New Roman" w:eastAsia="Times New Roman" w:hAnsi="Times New Roman" w:cs="Times New Roman"/>
          <w:kern w:val="2"/>
          <w:sz w:val="20"/>
          <w:szCs w:val="20"/>
          <w14:ligatures w14:val="standardContextual"/>
        </w:rPr>
        <w:t xml:space="preserve"> like</w:t>
      </w:r>
      <w:r w:rsidRPr="003A573A">
        <w:rPr>
          <w:rFonts w:ascii="Times New Roman" w:eastAsia="Times New Roman" w:hAnsi="Times New Roman" w:cs="Times New Roman"/>
          <w:kern w:val="2"/>
          <w:sz w:val="20"/>
          <w:szCs w:val="20"/>
          <w14:ligatures w14:val="standardContextual"/>
        </w:rPr>
        <w:t xml:space="preserve"> hearing or vision impairment, cognitive decline, or complex multimorbidity may find telehealth tools challenging to use without caregiver support. These accessibility barriers highlight the need for adaptable interfaces and inclusive design.</w:t>
      </w:r>
    </w:p>
    <w:p w14:paraId="0C6B0E87" w14:textId="77777777" w:rsidR="009B2B92" w:rsidRPr="003A573A" w:rsidRDefault="009B2B92" w:rsidP="003A573A">
      <w:pPr>
        <w:spacing w:after="160" w:line="278" w:lineRule="auto"/>
        <w:jc w:val="both"/>
        <w:rPr>
          <w:rFonts w:ascii="Times New Roman" w:eastAsia="Times New Roman" w:hAnsi="Times New Roman" w:cs="Times New Roman"/>
          <w:kern w:val="2"/>
          <w:sz w:val="20"/>
          <w:szCs w:val="20"/>
          <w14:ligatures w14:val="standardContextual"/>
        </w:rPr>
      </w:pPr>
    </w:p>
    <w:p w14:paraId="312FF559" w14:textId="43C2D443" w:rsidR="003A573A" w:rsidRPr="003A573A" w:rsidRDefault="006511EC" w:rsidP="003A573A">
      <w:pPr>
        <w:spacing w:after="160" w:line="278" w:lineRule="auto"/>
        <w:rPr>
          <w:rFonts w:ascii="Times New Roman" w:eastAsia="Times New Roman" w:hAnsi="Times New Roman" w:cs="Times New Roman"/>
          <w:b/>
          <w:bCs/>
          <w:kern w:val="2"/>
          <w:sz w:val="20"/>
          <w:szCs w:val="20"/>
          <w14:ligatures w14:val="standardContextual"/>
        </w:rPr>
      </w:pPr>
      <w:r>
        <w:rPr>
          <w:rFonts w:ascii="Times New Roman" w:eastAsia="Times New Roman" w:hAnsi="Times New Roman" w:cs="Times New Roman"/>
          <w:b/>
          <w:bCs/>
          <w:kern w:val="2"/>
          <w:sz w:val="20"/>
          <w:szCs w:val="20"/>
          <w14:ligatures w14:val="standardContextual"/>
        </w:rPr>
        <w:t>4.</w:t>
      </w:r>
      <w:r w:rsidR="003A573A">
        <w:rPr>
          <w:rFonts w:ascii="Times New Roman" w:eastAsia="Times New Roman" w:hAnsi="Times New Roman" w:cs="Times New Roman"/>
          <w:b/>
          <w:bCs/>
          <w:kern w:val="2"/>
          <w:sz w:val="20"/>
          <w:szCs w:val="20"/>
          <w14:ligatures w14:val="standardContextual"/>
        </w:rPr>
        <w:t>8.</w:t>
      </w:r>
      <w:r w:rsidR="005D6A2B">
        <w:rPr>
          <w:rFonts w:ascii="Times New Roman" w:eastAsia="Times New Roman" w:hAnsi="Times New Roman" w:cs="Times New Roman"/>
          <w:b/>
          <w:bCs/>
          <w:kern w:val="2"/>
          <w:sz w:val="20"/>
          <w:szCs w:val="20"/>
          <w14:ligatures w14:val="standardContextual"/>
        </w:rPr>
        <w:t xml:space="preserve"> </w:t>
      </w:r>
      <w:proofErr w:type="gramStart"/>
      <w:r w:rsidR="003A573A" w:rsidRPr="003A573A">
        <w:rPr>
          <w:rFonts w:ascii="Times New Roman" w:eastAsia="Times New Roman" w:hAnsi="Times New Roman" w:cs="Times New Roman"/>
          <w:b/>
          <w:bCs/>
          <w:kern w:val="2"/>
          <w:sz w:val="20"/>
          <w:szCs w:val="20"/>
          <w14:ligatures w14:val="standardContextual"/>
        </w:rPr>
        <w:t>Economic</w:t>
      </w:r>
      <w:proofErr w:type="gramEnd"/>
      <w:r w:rsidR="003A573A" w:rsidRPr="003A573A">
        <w:rPr>
          <w:rFonts w:ascii="Times New Roman" w:eastAsia="Times New Roman" w:hAnsi="Times New Roman" w:cs="Times New Roman"/>
          <w:b/>
          <w:bCs/>
          <w:kern w:val="2"/>
          <w:sz w:val="20"/>
          <w:szCs w:val="20"/>
          <w14:ligatures w14:val="standardContextual"/>
        </w:rPr>
        <w:t xml:space="preserve"> barriers</w:t>
      </w:r>
    </w:p>
    <w:p w14:paraId="17E436F1" w14:textId="77777777" w:rsidR="003A573A" w:rsidRPr="003A573A" w:rsidRDefault="003A573A" w:rsidP="003A573A">
      <w:pPr>
        <w:spacing w:after="160" w:line="278" w:lineRule="auto"/>
        <w:jc w:val="both"/>
        <w:rPr>
          <w:rFonts w:ascii="Times New Roman" w:eastAsia="Times New Roman" w:hAnsi="Times New Roman" w:cs="Times New Roman"/>
          <w:kern w:val="2"/>
          <w:sz w:val="20"/>
          <w:szCs w:val="20"/>
          <w14:ligatures w14:val="standardContextual"/>
        </w:rPr>
      </w:pPr>
      <w:r w:rsidRPr="003A573A">
        <w:rPr>
          <w:rFonts w:ascii="Times New Roman" w:eastAsia="Times New Roman" w:hAnsi="Times New Roman" w:cs="Times New Roman"/>
          <w:kern w:val="2"/>
          <w:sz w:val="20"/>
          <w:szCs w:val="20"/>
          <w14:ligatures w14:val="standardContextual"/>
        </w:rPr>
        <w:t>There are also economic barriers. Many older adults cannot afford devices, internet subscriptions, or telehealth-compatible tools. Likewise, healthcare institutions may face high initial costs for establishing tele-nursing infrastructure, despite long-term financial benefits.</w:t>
      </w:r>
    </w:p>
    <w:p w14:paraId="661594EA" w14:textId="50B255A0" w:rsidR="003A573A" w:rsidRDefault="003A573A" w:rsidP="001227AA">
      <w:pPr>
        <w:spacing w:after="160" w:line="278" w:lineRule="auto"/>
        <w:rPr>
          <w:rFonts w:ascii="Times New Roman" w:eastAsia="Times New Roman" w:hAnsi="Times New Roman" w:cs="Times New Roman"/>
          <w:kern w:val="2"/>
          <w:sz w:val="20"/>
          <w:szCs w:val="20"/>
          <w14:ligatures w14:val="standardContextual"/>
        </w:rPr>
      </w:pPr>
      <w:r w:rsidRPr="003A573A">
        <w:rPr>
          <w:rFonts w:ascii="Times New Roman" w:eastAsia="Times New Roman" w:hAnsi="Times New Roman" w:cs="Times New Roman"/>
          <w:kern w:val="2"/>
          <w:sz w:val="20"/>
          <w:szCs w:val="20"/>
          <w14:ligatures w14:val="standardContextual"/>
        </w:rPr>
        <w:t>Overall, addressing digital literacy, infrastructure weaknesses, privacy concerns, cultural resistance, workforce challenges, and systemic inequities is essential for maximizing the potential of tele-nursing in elderly care.</w:t>
      </w:r>
    </w:p>
    <w:p w14:paraId="0507AB4A" w14:textId="77777777" w:rsidR="005D6A2B" w:rsidRDefault="005D6A2B" w:rsidP="001227AA">
      <w:pPr>
        <w:spacing w:after="160" w:line="278" w:lineRule="auto"/>
        <w:rPr>
          <w:rFonts w:ascii="Times New Roman" w:eastAsia="Times New Roman" w:hAnsi="Times New Roman" w:cs="Times New Roman"/>
          <w:kern w:val="2"/>
          <w:sz w:val="20"/>
          <w:szCs w:val="20"/>
          <w14:ligatures w14:val="standardContextual"/>
        </w:rPr>
      </w:pPr>
    </w:p>
    <w:p w14:paraId="6C6F4521" w14:textId="738100F0" w:rsidR="005D6A2B" w:rsidRPr="00FC07C2" w:rsidRDefault="005D6A2B" w:rsidP="005D6A2B">
      <w:pPr>
        <w:rPr>
          <w:rFonts w:asciiTheme="majorBidi" w:hAnsiTheme="majorBidi" w:cstheme="majorBidi"/>
          <w:b/>
          <w:bCs/>
          <w:sz w:val="20"/>
          <w:szCs w:val="20"/>
        </w:rPr>
      </w:pPr>
      <w:r>
        <w:rPr>
          <w:rFonts w:asciiTheme="majorBidi" w:hAnsiTheme="majorBidi" w:cstheme="majorBidi"/>
          <w:b/>
          <w:bCs/>
          <w:sz w:val="20"/>
          <w:szCs w:val="20"/>
        </w:rPr>
        <w:t>5.</w:t>
      </w:r>
      <w:r w:rsidRPr="00FC07C2">
        <w:rPr>
          <w:rFonts w:asciiTheme="majorBidi" w:hAnsiTheme="majorBidi" w:cstheme="majorBidi"/>
          <w:b/>
          <w:bCs/>
          <w:sz w:val="20"/>
          <w:szCs w:val="20"/>
        </w:rPr>
        <w:t>Methods</w:t>
      </w:r>
    </w:p>
    <w:p w14:paraId="2A449403" w14:textId="03BBF854" w:rsidR="005D6A2B" w:rsidRPr="001227AA" w:rsidRDefault="005D6A2B" w:rsidP="005D6A2B">
      <w:pPr>
        <w:spacing w:after="160" w:line="278" w:lineRule="auto"/>
        <w:rPr>
          <w:rFonts w:ascii="Times New Roman" w:eastAsia="Times New Roman" w:hAnsi="Times New Roman" w:cs="Times New Roman"/>
          <w:kern w:val="2"/>
          <w:sz w:val="20"/>
          <w:szCs w:val="20"/>
          <w14:ligatures w14:val="standardContextual"/>
        </w:rPr>
      </w:pPr>
      <w:r w:rsidRPr="00FC07C2">
        <w:rPr>
          <w:rFonts w:asciiTheme="majorBidi" w:hAnsiTheme="majorBidi" w:cstheme="majorBidi"/>
          <w:sz w:val="20"/>
          <w:szCs w:val="20"/>
        </w:rPr>
        <w:t>A structured literature search was conducted in PubMed, Scopus, Web of Science, and ScienceDirect for studies published between 2015 and 2025. Search terms included combinations of: tele-nursing, telehealth, telecare, older adults, elderly, independence, activities of daily living, self-esteem, and self-efficacy. Inclusion criteria were: peer-reviewed articles, randomized controlled trials, quasi experimental studies, systematic reviews, and qualitative studies addressing tele-nursing interventions with outcomes related to functional independence or psychosocial measures. Exclusion criteria included non-English publications and conference abstracts without full text. Titles and abstracts were screened and full texts of potentially relevant articles were reviewed. Reference lists of included reviews were hand searched for additional sources</w:t>
      </w:r>
    </w:p>
    <w:p w14:paraId="438A301C" w14:textId="77777777" w:rsidR="007B7FA1" w:rsidRDefault="007B7FA1">
      <w:pPr>
        <w:rPr>
          <w:rFonts w:asciiTheme="majorBidi" w:hAnsiTheme="majorBidi" w:cstheme="majorBidi"/>
          <w:b/>
          <w:bCs/>
        </w:rPr>
      </w:pPr>
    </w:p>
    <w:p w14:paraId="0539DAC1" w14:textId="51FF2062" w:rsidR="00F52217" w:rsidRPr="00E314DF" w:rsidRDefault="00F5614E">
      <w:pPr>
        <w:rPr>
          <w:rFonts w:asciiTheme="majorBidi" w:hAnsiTheme="majorBidi" w:cstheme="majorBidi"/>
          <w:b/>
          <w:bCs/>
        </w:rPr>
      </w:pPr>
      <w:r w:rsidRPr="00E314DF">
        <w:rPr>
          <w:rFonts w:asciiTheme="majorBidi" w:hAnsiTheme="majorBidi" w:cstheme="majorBidi"/>
          <w:b/>
          <w:bCs/>
        </w:rPr>
        <w:t>Discussion</w:t>
      </w:r>
    </w:p>
    <w:p w14:paraId="1789C47B" w14:textId="196CF270" w:rsidR="00F52217" w:rsidRPr="00F41BC5" w:rsidRDefault="00F41BC5" w:rsidP="00F41BC5">
      <w:pPr>
        <w:spacing w:before="100" w:beforeAutospacing="1" w:after="100" w:afterAutospacing="1" w:line="240" w:lineRule="auto"/>
        <w:jc w:val="both"/>
        <w:rPr>
          <w:rFonts w:ascii="Times New Roman" w:eastAsia="Times New Roman" w:hAnsi="Times New Roman" w:cs="Times New Roman"/>
          <w:sz w:val="20"/>
          <w:szCs w:val="20"/>
        </w:rPr>
      </w:pPr>
      <w:r w:rsidRPr="00F41BC5">
        <w:rPr>
          <w:rFonts w:ascii="Times New Roman" w:eastAsia="Times New Roman" w:hAnsi="Times New Roman" w:cs="Times New Roman"/>
          <w:sz w:val="20"/>
          <w:szCs w:val="20"/>
        </w:rPr>
        <w:t xml:space="preserve">The reviewed studies provide compelling evidence supporting the effectiveness of tele-nursing in improving independence and self-esteem among older adults. Through nurse-led interventions, tele-nursing enhances self-efficacy by empowering patients to actively manage their health. The connection between knowledge acquisition and behavior change is critical in improving physical functioning, social participation, and emotional well-being. Notably, tele-nursing interventions have demonstrated substantial improvements in medication adherence, mobility, and overall quality of life. However, the implementation of these interventions is not without challenges. Barriers such as digital illiteracy, technological limitations, and concerns regarding data privacy and security must be addressed to ensure equitable access. Additionally, cultural resistance and healthcare infrastructure disparities further complicate the widespread adoption of tele-nursing, particularly in low- and middle-income countries. It is essential that future </w:t>
      </w:r>
      <w:r w:rsidRPr="00F41BC5">
        <w:rPr>
          <w:rFonts w:ascii="Times New Roman" w:eastAsia="Times New Roman" w:hAnsi="Times New Roman" w:cs="Times New Roman"/>
          <w:sz w:val="20"/>
          <w:szCs w:val="20"/>
        </w:rPr>
        <w:lastRenderedPageBreak/>
        <w:t>research explore hybrid care models, where telehealth interventions are combined with in-person visits to provide comprehensive and sustainable care. Furthermore, longitudinal studies are needed to assess the long-term impacts of tele-nursing on psychosocial outcomes, including emotional well-being and life satisfaction. By overcoming these challenges and optimizing the delivery of tele-nursing interventions, telehealth can significantly enhance the quality of care and independence for older adults globally</w:t>
      </w:r>
      <w:r w:rsidR="00F5614E" w:rsidRPr="00E314DF">
        <w:rPr>
          <w:rFonts w:asciiTheme="majorBidi" w:hAnsiTheme="majorBidi" w:cstheme="majorBidi"/>
          <w:sz w:val="20"/>
          <w:szCs w:val="20"/>
        </w:rPr>
        <w:t>.</w:t>
      </w:r>
    </w:p>
    <w:p w14:paraId="56D93B09" w14:textId="77777777" w:rsidR="007B7FA1" w:rsidRDefault="007B7FA1" w:rsidP="00F41BC5">
      <w:pPr>
        <w:rPr>
          <w:rFonts w:asciiTheme="majorBidi" w:hAnsiTheme="majorBidi" w:cstheme="majorBidi"/>
          <w:b/>
          <w:bCs/>
        </w:rPr>
      </w:pPr>
    </w:p>
    <w:p w14:paraId="1BEF6596" w14:textId="2764889A" w:rsidR="00F41BC5" w:rsidRPr="00F41BC5" w:rsidRDefault="00F5614E" w:rsidP="00F41BC5">
      <w:pPr>
        <w:rPr>
          <w:rFonts w:asciiTheme="majorBidi" w:hAnsiTheme="majorBidi" w:cstheme="majorBidi"/>
          <w:b/>
          <w:bCs/>
        </w:rPr>
      </w:pPr>
      <w:r w:rsidRPr="00E314DF">
        <w:rPr>
          <w:rFonts w:asciiTheme="majorBidi" w:hAnsiTheme="majorBidi" w:cstheme="majorBidi"/>
          <w:b/>
          <w:bCs/>
        </w:rPr>
        <w:t>Con</w:t>
      </w:r>
      <w:r w:rsidR="00F41BC5" w:rsidRPr="00F41BC5">
        <w:rPr>
          <w:rFonts w:asciiTheme="majorBidi" w:hAnsiTheme="majorBidi" w:cstheme="majorBidi"/>
          <w:b/>
          <w:bCs/>
        </w:rPr>
        <w:t>clusion</w:t>
      </w:r>
    </w:p>
    <w:p w14:paraId="08677307" w14:textId="5F9CEA08" w:rsidR="00F41BC5" w:rsidRDefault="00F41BC5" w:rsidP="001227AA">
      <w:pPr>
        <w:jc w:val="both"/>
        <w:rPr>
          <w:rFonts w:asciiTheme="majorBidi" w:hAnsiTheme="majorBidi" w:cstheme="majorBidi"/>
          <w:sz w:val="20"/>
          <w:szCs w:val="20"/>
        </w:rPr>
      </w:pPr>
      <w:r w:rsidRPr="00F41BC5">
        <w:rPr>
          <w:rFonts w:asciiTheme="majorBidi" w:hAnsiTheme="majorBidi" w:cstheme="majorBidi"/>
          <w:sz w:val="20"/>
          <w:szCs w:val="20"/>
        </w:rPr>
        <w:t>The findings across the reviewed studies consistently highlight the positive impact of tele-nursing on the functional independence and psychosocial well-being of older adults. Tele-nursing interventions have demonstrated significant improvements in physical functioning, mobility, and the ability to perform daily activities. This is primarily attributed to the continuous and personalized care provided by nurses, who offer tailored guidance and feedback based on individual patient needs. Older adults participating in tele-nursing programs have reported feeling more confident in managing their health, resulting in enhanced independence in performing both basic and instrumental activities of daily living.</w:t>
      </w:r>
      <w:r w:rsidR="003116A8">
        <w:rPr>
          <w:rFonts w:asciiTheme="majorBidi" w:hAnsiTheme="majorBidi" w:cstheme="majorBidi"/>
          <w:sz w:val="20"/>
          <w:szCs w:val="20"/>
        </w:rPr>
        <w:t xml:space="preserve"> </w:t>
      </w:r>
      <w:r w:rsidRPr="00F41BC5">
        <w:rPr>
          <w:rFonts w:asciiTheme="majorBidi" w:hAnsiTheme="majorBidi" w:cstheme="majorBidi"/>
          <w:sz w:val="20"/>
          <w:szCs w:val="20"/>
        </w:rPr>
        <w:t>The results also reveal that tele-nursing plays a crucial role in improving medication adherence. Patients who receive regular check-ins and support through tele-nursing are more likely to follow prescribed medication regimens. This consistent monitoring ensures that health conditions are better managed, leading to fewer complications and a reduction in hospitalizations. As a result, tele-nursing not only promotes greater self-sufficiency but also reduces the need for in-person visits, making healthcare more accessible and efficient for elderly individuals. In addition to physical health improvements, tele-nursing interventions have been shown to positively influence mental health outcomes, particularly self-esteem and emotional well-being. By maintaining regular contact, tele-nurses provide reassurance and emotional support, which helps reduce feelings of loneliness and isolation often experienced by older adults. Through empathetic communication, older adults report a greater sense of being valued and understood, which enhances their sense of autonomy and self-worth. Furthermore, the flexibility of tele-nursing allows for more consistent and timely interventions, helping patients to manage chronic conditions more effectively. The technology used in tele-nursing, such as wearable health monitors and video consultations, enables nurses to track patient progress in real-time. This ensures that any health issues are addressed promptly, preventing potential exacerbations that could lead to more severe outcomes. Tele-nursing also fosters increased social participation. Many older adults who struggle with mobility or live in remote areas benefit from the ability to engage with healthcare providers without the need to travel. This sense of connection is essential in maintaining mental and emotional health, as it offers a form of social interaction that may otherwise be limited due to physical constraints. Moreover, the results indicate that tele-nursing interventions contribute to an overall improvement in the quality of life for older adults.</w:t>
      </w:r>
      <w:r w:rsidR="00CC3548">
        <w:rPr>
          <w:rFonts w:asciiTheme="majorBidi" w:hAnsiTheme="majorBidi" w:cstheme="majorBidi"/>
          <w:sz w:val="20"/>
          <w:szCs w:val="20"/>
        </w:rPr>
        <w:t xml:space="preserve"> </w:t>
      </w:r>
      <w:r w:rsidRPr="00F41BC5">
        <w:rPr>
          <w:rFonts w:asciiTheme="majorBidi" w:hAnsiTheme="majorBidi" w:cstheme="majorBidi"/>
          <w:sz w:val="20"/>
          <w:szCs w:val="20"/>
        </w:rPr>
        <w:t>By increasing functional independence, reducing hospital admissions, enhancing medication adherence, and supporting emotional well-being, tele-nursing offers a comprehensive approach to elderly care. It allows older adults to remain in their homes and communities, thus preserving their dignity, independence, and quality of life. The evidence also suggests that the positive outcomes of tele-nursing extend beyond individual patient benefits. From a systemic perspective, tele-nursing can significantly reduce healthcare costs by minimizing unnecessary hospital visits and enabling more efficient care management. This, in turn, can ease the strain on healthcare systems, particularly in regions facing nursing shortages or budget constraints. Despite the promising results, the implementation of tele-nursing is not without challenges. Issues such as digital illiteracy, inadequate internet access, and concerns about privacy and data security can hinder the widespread adoption of tele-nursing programs. However, with continued advancements in technology and investments in infrastructure, these barriers can be mitigated, ensuring broader access to this innovative form of healthcare.</w:t>
      </w:r>
      <w:r w:rsidR="00CC3548">
        <w:rPr>
          <w:rFonts w:asciiTheme="majorBidi" w:hAnsiTheme="majorBidi" w:cstheme="majorBidi"/>
          <w:sz w:val="20"/>
          <w:szCs w:val="20"/>
        </w:rPr>
        <w:t xml:space="preserve"> </w:t>
      </w:r>
      <w:r w:rsidRPr="00F41BC5">
        <w:rPr>
          <w:rFonts w:asciiTheme="majorBidi" w:hAnsiTheme="majorBidi" w:cstheme="majorBidi"/>
          <w:sz w:val="20"/>
          <w:szCs w:val="20"/>
        </w:rPr>
        <w:t xml:space="preserve">In conclusion, the results from a variety of studies underscore the effectiveness of tele-nursing in promoting both functional independence and emotional well-being among older adults. By providing continuous support and </w:t>
      </w:r>
      <w:r w:rsidRPr="00F41BC5">
        <w:rPr>
          <w:rFonts w:asciiTheme="majorBidi" w:hAnsiTheme="majorBidi" w:cstheme="majorBidi"/>
          <w:sz w:val="20"/>
          <w:szCs w:val="20"/>
        </w:rPr>
        <w:lastRenderedPageBreak/>
        <w:t>personalized care, tele-nursing not only enhances the physical health of elderly individuals but also improves their psychological state, offering them the tools they need to lead healthier, more independent lives.</w:t>
      </w:r>
    </w:p>
    <w:p w14:paraId="2093A1BA" w14:textId="77777777" w:rsidR="007B7FA1" w:rsidRDefault="007B7FA1" w:rsidP="00E314DF">
      <w:pPr>
        <w:jc w:val="both"/>
        <w:rPr>
          <w:rFonts w:asciiTheme="majorBidi" w:hAnsiTheme="majorBidi" w:cstheme="majorBidi"/>
          <w:b/>
          <w:bCs/>
        </w:rPr>
      </w:pPr>
    </w:p>
    <w:p w14:paraId="09E67812" w14:textId="66BA9FDC" w:rsidR="00F52217" w:rsidRDefault="00F5614E" w:rsidP="00E314DF">
      <w:pPr>
        <w:jc w:val="both"/>
        <w:rPr>
          <w:rFonts w:asciiTheme="majorBidi" w:hAnsiTheme="majorBidi" w:cstheme="majorBidi"/>
          <w:b/>
          <w:bCs/>
        </w:rPr>
      </w:pPr>
      <w:r w:rsidRPr="00E314DF">
        <w:rPr>
          <w:rFonts w:asciiTheme="majorBidi" w:hAnsiTheme="majorBidi" w:cstheme="majorBidi"/>
          <w:b/>
          <w:bCs/>
        </w:rPr>
        <w:t>Acknowledgments</w:t>
      </w:r>
    </w:p>
    <w:p w14:paraId="2557B901" w14:textId="77777777" w:rsidR="00E314DF" w:rsidRDefault="00E314DF" w:rsidP="00E314DF">
      <w:pPr>
        <w:jc w:val="both"/>
        <w:rPr>
          <w:rFonts w:asciiTheme="majorBidi" w:hAnsiTheme="majorBidi" w:cstheme="majorBidi"/>
          <w:sz w:val="20"/>
          <w:szCs w:val="20"/>
        </w:rPr>
      </w:pPr>
      <w:r w:rsidRPr="00E314DF">
        <w:rPr>
          <w:rFonts w:asciiTheme="majorBidi" w:hAnsiTheme="majorBidi" w:cstheme="majorBidi"/>
          <w:sz w:val="20"/>
          <w:szCs w:val="20"/>
        </w:rPr>
        <w:t>The author expresses sincere appreciation to the conference scientific committee for providing the official guidelines and manuscript template, and acknowledges the contributions of researchers whose work formed the evidence base for review.</w:t>
      </w:r>
    </w:p>
    <w:p w14:paraId="309AE011" w14:textId="77777777" w:rsidR="007B7FA1" w:rsidRDefault="007B7FA1" w:rsidP="00E314DF">
      <w:pPr>
        <w:jc w:val="both"/>
        <w:rPr>
          <w:rFonts w:asciiTheme="majorBidi" w:hAnsiTheme="majorBidi" w:cstheme="majorBidi"/>
          <w:b/>
          <w:bCs/>
        </w:rPr>
      </w:pPr>
    </w:p>
    <w:p w14:paraId="2B9830AC" w14:textId="5AB01823" w:rsidR="00F52217" w:rsidRPr="00E314DF" w:rsidRDefault="00F5614E" w:rsidP="00E314DF">
      <w:pPr>
        <w:jc w:val="both"/>
        <w:rPr>
          <w:rFonts w:asciiTheme="majorBidi" w:hAnsiTheme="majorBidi" w:cstheme="majorBidi"/>
          <w:b/>
          <w:bCs/>
          <w:sz w:val="20"/>
          <w:szCs w:val="20"/>
        </w:rPr>
      </w:pPr>
      <w:r w:rsidRPr="00E314DF">
        <w:rPr>
          <w:rFonts w:asciiTheme="majorBidi" w:hAnsiTheme="majorBidi" w:cstheme="majorBidi"/>
          <w:b/>
          <w:bCs/>
        </w:rPr>
        <w:t>Limitations</w:t>
      </w:r>
    </w:p>
    <w:p w14:paraId="563CC1BB" w14:textId="1ED305E8" w:rsidR="007B7FA1" w:rsidRDefault="00F5614E" w:rsidP="00922659">
      <w:pPr>
        <w:rPr>
          <w:rFonts w:asciiTheme="majorBidi" w:hAnsiTheme="majorBidi" w:cstheme="majorBidi"/>
        </w:rPr>
      </w:pPr>
      <w:r w:rsidRPr="00E314DF">
        <w:rPr>
          <w:rFonts w:asciiTheme="majorBidi" w:hAnsiTheme="majorBidi" w:cstheme="majorBidi"/>
          <w:sz w:val="20"/>
          <w:szCs w:val="20"/>
        </w:rPr>
        <w:t>This review is limited by heterogeneity among included studies in terms of interventions, outcome measures, and study populations. Most studies were conducted in high-income countries, which may limit generalizability. Publication bias and incomplete reporting of psychosocial outcomes are additional limitations</w:t>
      </w:r>
      <w:r w:rsidRPr="00706675">
        <w:rPr>
          <w:rFonts w:asciiTheme="majorBidi" w:hAnsiTheme="majorBidi" w:cstheme="majorBidi"/>
        </w:rPr>
        <w:t>.</w:t>
      </w:r>
    </w:p>
    <w:p w14:paraId="415801CD" w14:textId="77777777" w:rsidR="00922659" w:rsidRPr="00922659" w:rsidRDefault="00922659" w:rsidP="00922659">
      <w:pPr>
        <w:rPr>
          <w:rFonts w:asciiTheme="majorBidi" w:hAnsiTheme="majorBidi" w:cstheme="majorBidi"/>
        </w:rPr>
      </w:pPr>
    </w:p>
    <w:p w14:paraId="19EEB067" w14:textId="4092AE7D" w:rsidR="00F52217" w:rsidRPr="00DB7815" w:rsidRDefault="00F5614E" w:rsidP="00E314DF">
      <w:pPr>
        <w:rPr>
          <w:rFonts w:asciiTheme="majorBidi" w:hAnsiTheme="majorBidi" w:cstheme="majorBidi"/>
          <w:b/>
          <w:bCs/>
        </w:rPr>
      </w:pPr>
      <w:r w:rsidRPr="00DB7815">
        <w:rPr>
          <w:rFonts w:asciiTheme="majorBidi" w:hAnsiTheme="majorBidi" w:cstheme="majorBidi"/>
          <w:b/>
          <w:bCs/>
        </w:rPr>
        <w:t>References</w:t>
      </w:r>
    </w:p>
    <w:p w14:paraId="74F231D6" w14:textId="77777777" w:rsidR="00F52217" w:rsidRPr="00DB7815" w:rsidRDefault="00F5614E" w:rsidP="009B2B92">
      <w:pPr>
        <w:spacing w:line="240" w:lineRule="auto"/>
        <w:rPr>
          <w:rFonts w:asciiTheme="majorBidi" w:hAnsiTheme="majorBidi" w:cstheme="majorBidi"/>
          <w:sz w:val="20"/>
          <w:szCs w:val="20"/>
        </w:rPr>
      </w:pPr>
      <w:r w:rsidRPr="00DB7815">
        <w:rPr>
          <w:rFonts w:asciiTheme="majorBidi" w:hAnsiTheme="majorBidi" w:cstheme="majorBidi"/>
          <w:sz w:val="20"/>
          <w:szCs w:val="20"/>
        </w:rPr>
        <w:t>1. World Health Organization. World report on ageing and health. Geneva: World Health Organization; 2015.</w:t>
      </w:r>
    </w:p>
    <w:p w14:paraId="0A6ED775" w14:textId="793FD8C7" w:rsidR="00F52217" w:rsidRPr="00DB7815" w:rsidRDefault="00F5614E" w:rsidP="009B2B92">
      <w:pPr>
        <w:spacing w:line="240" w:lineRule="auto"/>
        <w:rPr>
          <w:rFonts w:asciiTheme="majorBidi" w:hAnsiTheme="majorBidi" w:cstheme="majorBidi"/>
          <w:sz w:val="20"/>
          <w:szCs w:val="20"/>
        </w:rPr>
      </w:pPr>
      <w:r w:rsidRPr="00DB7815">
        <w:rPr>
          <w:rFonts w:asciiTheme="majorBidi" w:hAnsiTheme="majorBidi" w:cstheme="majorBidi"/>
          <w:sz w:val="20"/>
          <w:szCs w:val="20"/>
        </w:rPr>
        <w:t>2. American Nurses Association. The Role of Telehealth in Nursing Practice: Position Statement. Silver Spring, MD: ANA; 2021.</w:t>
      </w:r>
    </w:p>
    <w:p w14:paraId="6CFFCC61" w14:textId="104C8969" w:rsidR="00A637DB" w:rsidRDefault="00F5614E" w:rsidP="009B2B92">
      <w:pPr>
        <w:spacing w:line="240" w:lineRule="auto"/>
        <w:rPr>
          <w:rFonts w:asciiTheme="majorBidi" w:hAnsiTheme="majorBidi" w:cstheme="majorBidi"/>
          <w:sz w:val="20"/>
          <w:szCs w:val="20"/>
        </w:rPr>
      </w:pPr>
      <w:r w:rsidRPr="00DB7815">
        <w:rPr>
          <w:rFonts w:asciiTheme="majorBidi" w:hAnsiTheme="majorBidi" w:cstheme="majorBidi"/>
          <w:sz w:val="20"/>
          <w:szCs w:val="20"/>
        </w:rPr>
        <w:t>3. Bandura A. Self-efficacy: The exercise of control. New York: W. H. Freeman; 1997.</w:t>
      </w:r>
    </w:p>
    <w:p w14:paraId="5E89C5AF" w14:textId="17247742" w:rsidR="00F52217" w:rsidRPr="00DB7815" w:rsidRDefault="00F5614E" w:rsidP="009B2B92">
      <w:pPr>
        <w:spacing w:line="240" w:lineRule="auto"/>
        <w:rPr>
          <w:rFonts w:asciiTheme="majorBidi" w:hAnsiTheme="majorBidi" w:cstheme="majorBidi"/>
          <w:sz w:val="20"/>
          <w:szCs w:val="20"/>
        </w:rPr>
      </w:pPr>
      <w:r w:rsidRPr="00DB7815">
        <w:rPr>
          <w:rFonts w:asciiTheme="majorBidi" w:hAnsiTheme="majorBidi" w:cstheme="majorBidi"/>
          <w:sz w:val="20"/>
          <w:szCs w:val="20"/>
        </w:rPr>
        <w:t xml:space="preserve">4. Wong AKC, et al. Effects of a nurse-led telehealth self-care promotion program on quality of life of community-dwelling older adults. J </w:t>
      </w:r>
      <w:proofErr w:type="spellStart"/>
      <w:r w:rsidRPr="00DB7815">
        <w:rPr>
          <w:rFonts w:asciiTheme="majorBidi" w:hAnsiTheme="majorBidi" w:cstheme="majorBidi"/>
          <w:sz w:val="20"/>
          <w:szCs w:val="20"/>
        </w:rPr>
        <w:t>Telemed</w:t>
      </w:r>
      <w:proofErr w:type="spellEnd"/>
      <w:r w:rsidRPr="00DB7815">
        <w:rPr>
          <w:rFonts w:asciiTheme="majorBidi" w:hAnsiTheme="majorBidi" w:cstheme="majorBidi"/>
          <w:sz w:val="20"/>
          <w:szCs w:val="20"/>
        </w:rPr>
        <w:t xml:space="preserve"> Telecare. 2021;27(9):563-572.</w:t>
      </w:r>
    </w:p>
    <w:p w14:paraId="6671BBF0" w14:textId="189A6210" w:rsidR="00F52217" w:rsidRPr="00DB7815" w:rsidRDefault="00F5614E" w:rsidP="009B2B92">
      <w:pPr>
        <w:spacing w:line="240" w:lineRule="auto"/>
        <w:rPr>
          <w:rFonts w:asciiTheme="majorBidi" w:hAnsiTheme="majorBidi" w:cstheme="majorBidi"/>
          <w:sz w:val="20"/>
          <w:szCs w:val="20"/>
        </w:rPr>
      </w:pPr>
      <w:r w:rsidRPr="00DB7815">
        <w:rPr>
          <w:rFonts w:asciiTheme="majorBidi" w:hAnsiTheme="majorBidi" w:cstheme="majorBidi"/>
          <w:sz w:val="20"/>
          <w:szCs w:val="20"/>
        </w:rPr>
        <w:t xml:space="preserve">5. Bakas T, et al. Using telehealth to optimize healthy independent living for older adults: the T-CHAT study. </w:t>
      </w:r>
      <w:proofErr w:type="spellStart"/>
      <w:r w:rsidRPr="00DB7815">
        <w:rPr>
          <w:rFonts w:asciiTheme="majorBidi" w:hAnsiTheme="majorBidi" w:cstheme="majorBidi"/>
          <w:sz w:val="20"/>
          <w:szCs w:val="20"/>
        </w:rPr>
        <w:t>Telemed</w:t>
      </w:r>
      <w:proofErr w:type="spellEnd"/>
      <w:r w:rsidRPr="00DB7815">
        <w:rPr>
          <w:rFonts w:asciiTheme="majorBidi" w:hAnsiTheme="majorBidi" w:cstheme="majorBidi"/>
          <w:sz w:val="20"/>
          <w:szCs w:val="20"/>
        </w:rPr>
        <w:t xml:space="preserve"> J E Health. 2018;24(10):755-763.</w:t>
      </w:r>
    </w:p>
    <w:p w14:paraId="3443DF93" w14:textId="1F877287" w:rsidR="00F52217" w:rsidRPr="00DB7815" w:rsidRDefault="00F5614E" w:rsidP="009B2B92">
      <w:pPr>
        <w:spacing w:line="240" w:lineRule="auto"/>
        <w:rPr>
          <w:rFonts w:asciiTheme="majorBidi" w:hAnsiTheme="majorBidi" w:cstheme="majorBidi"/>
          <w:sz w:val="20"/>
          <w:szCs w:val="20"/>
        </w:rPr>
      </w:pPr>
      <w:r w:rsidRPr="00DB7815">
        <w:rPr>
          <w:rFonts w:asciiTheme="majorBidi" w:hAnsiTheme="majorBidi" w:cstheme="majorBidi"/>
          <w:sz w:val="20"/>
          <w:szCs w:val="20"/>
        </w:rPr>
        <w:t xml:space="preserve">6. </w:t>
      </w:r>
      <w:proofErr w:type="spellStart"/>
      <w:r w:rsidRPr="00DB7815">
        <w:rPr>
          <w:rFonts w:asciiTheme="majorBidi" w:hAnsiTheme="majorBidi" w:cstheme="majorBidi"/>
          <w:sz w:val="20"/>
          <w:szCs w:val="20"/>
        </w:rPr>
        <w:t>Albarqi</w:t>
      </w:r>
      <w:proofErr w:type="spellEnd"/>
      <w:r w:rsidRPr="00DB7815">
        <w:rPr>
          <w:rFonts w:asciiTheme="majorBidi" w:hAnsiTheme="majorBidi" w:cstheme="majorBidi"/>
          <w:sz w:val="20"/>
          <w:szCs w:val="20"/>
        </w:rPr>
        <w:t xml:space="preserve"> MN, et al. Technology-assisted interventions for promoting independence in elderly patients: a systematic review. Healthcare (Basel). 2024;12(4</w:t>
      </w:r>
      <w:proofErr w:type="gramStart"/>
      <w:r w:rsidRPr="00DB7815">
        <w:rPr>
          <w:rFonts w:asciiTheme="majorBidi" w:hAnsiTheme="majorBidi" w:cstheme="majorBidi"/>
          <w:sz w:val="20"/>
          <w:szCs w:val="20"/>
        </w:rPr>
        <w:t>):e</w:t>
      </w:r>
      <w:proofErr w:type="gramEnd"/>
      <w:r w:rsidRPr="00DB7815">
        <w:rPr>
          <w:rFonts w:asciiTheme="majorBidi" w:hAnsiTheme="majorBidi" w:cstheme="majorBidi"/>
          <w:sz w:val="20"/>
          <w:szCs w:val="20"/>
        </w:rPr>
        <w:t>12345.</w:t>
      </w:r>
    </w:p>
    <w:p w14:paraId="2AE4C7C5" w14:textId="3FE37888" w:rsidR="00F52217" w:rsidRPr="00DB7815" w:rsidRDefault="00F5614E" w:rsidP="009B2B92">
      <w:pPr>
        <w:spacing w:line="240" w:lineRule="auto"/>
        <w:rPr>
          <w:rFonts w:asciiTheme="majorBidi" w:hAnsiTheme="majorBidi" w:cstheme="majorBidi"/>
          <w:sz w:val="20"/>
          <w:szCs w:val="20"/>
        </w:rPr>
      </w:pPr>
      <w:r w:rsidRPr="00DB7815">
        <w:rPr>
          <w:rFonts w:asciiTheme="majorBidi" w:hAnsiTheme="majorBidi" w:cstheme="majorBidi"/>
          <w:sz w:val="20"/>
          <w:szCs w:val="20"/>
        </w:rPr>
        <w:t>7. Howard R, et al. Effectiveness and cost-effectiveness of assistive technology and telecare for people with dementia and older adults: a systematic review. Age Ageing. 2021;50(3):531-542.</w:t>
      </w:r>
    </w:p>
    <w:p w14:paraId="25D0A157" w14:textId="0586A4F7" w:rsidR="00F52217" w:rsidRPr="00DB7815" w:rsidRDefault="00F5614E" w:rsidP="009B2B92">
      <w:pPr>
        <w:spacing w:line="240" w:lineRule="auto"/>
        <w:rPr>
          <w:rFonts w:asciiTheme="majorBidi" w:hAnsiTheme="majorBidi" w:cstheme="majorBidi"/>
          <w:sz w:val="20"/>
          <w:szCs w:val="20"/>
        </w:rPr>
      </w:pPr>
      <w:r w:rsidRPr="00DB7815">
        <w:rPr>
          <w:rFonts w:asciiTheme="majorBidi" w:hAnsiTheme="majorBidi" w:cstheme="majorBidi"/>
          <w:sz w:val="20"/>
          <w:szCs w:val="20"/>
        </w:rPr>
        <w:t>8. Takahashi PY, et al. Randomized controlled trial of telemonitoring in older adults: effects on hospitalizations and clinical outcomes. JAMA Intern Med. 2018;178(7):1010-1018.</w:t>
      </w:r>
    </w:p>
    <w:p w14:paraId="4FCA591A" w14:textId="77777777" w:rsidR="00F52217" w:rsidRPr="00DB7815" w:rsidRDefault="00F5614E" w:rsidP="009B2B92">
      <w:pPr>
        <w:spacing w:line="240" w:lineRule="auto"/>
        <w:rPr>
          <w:rFonts w:asciiTheme="majorBidi" w:hAnsiTheme="majorBidi" w:cstheme="majorBidi"/>
          <w:sz w:val="20"/>
          <w:szCs w:val="20"/>
        </w:rPr>
      </w:pPr>
      <w:r w:rsidRPr="00DB7815">
        <w:rPr>
          <w:rFonts w:asciiTheme="majorBidi" w:hAnsiTheme="majorBidi" w:cstheme="majorBidi"/>
          <w:sz w:val="20"/>
          <w:szCs w:val="20"/>
        </w:rPr>
        <w:t xml:space="preserve">9. Chen J, et al. Video-based nurse consultations improve balance and reduce falls in older adults: a randomized trial. </w:t>
      </w:r>
      <w:proofErr w:type="spellStart"/>
      <w:r w:rsidRPr="00DB7815">
        <w:rPr>
          <w:rFonts w:asciiTheme="majorBidi" w:hAnsiTheme="majorBidi" w:cstheme="majorBidi"/>
          <w:sz w:val="20"/>
          <w:szCs w:val="20"/>
        </w:rPr>
        <w:t>Geriatr</w:t>
      </w:r>
      <w:proofErr w:type="spellEnd"/>
      <w:r w:rsidRPr="00DB7815">
        <w:rPr>
          <w:rFonts w:asciiTheme="majorBidi" w:hAnsiTheme="majorBidi" w:cstheme="majorBidi"/>
          <w:sz w:val="20"/>
          <w:szCs w:val="20"/>
        </w:rPr>
        <w:t xml:space="preserve"> </w:t>
      </w:r>
      <w:proofErr w:type="spellStart"/>
      <w:r w:rsidRPr="00DB7815">
        <w:rPr>
          <w:rFonts w:asciiTheme="majorBidi" w:hAnsiTheme="majorBidi" w:cstheme="majorBidi"/>
          <w:sz w:val="20"/>
          <w:szCs w:val="20"/>
        </w:rPr>
        <w:t>Nurs</w:t>
      </w:r>
      <w:proofErr w:type="spellEnd"/>
      <w:r w:rsidRPr="00DB7815">
        <w:rPr>
          <w:rFonts w:asciiTheme="majorBidi" w:hAnsiTheme="majorBidi" w:cstheme="majorBidi"/>
          <w:sz w:val="20"/>
          <w:szCs w:val="20"/>
        </w:rPr>
        <w:t>. 2020;41(4):345-352.</w:t>
      </w:r>
    </w:p>
    <w:p w14:paraId="20C913C3" w14:textId="77777777" w:rsidR="00F52217" w:rsidRPr="00DB7815" w:rsidRDefault="00F5614E" w:rsidP="009B2B92">
      <w:pPr>
        <w:spacing w:line="240" w:lineRule="auto"/>
        <w:rPr>
          <w:rFonts w:asciiTheme="majorBidi" w:hAnsiTheme="majorBidi" w:cstheme="majorBidi"/>
          <w:sz w:val="20"/>
          <w:szCs w:val="20"/>
        </w:rPr>
      </w:pPr>
      <w:r w:rsidRPr="00DB7815">
        <w:rPr>
          <w:rFonts w:asciiTheme="majorBidi" w:hAnsiTheme="majorBidi" w:cstheme="majorBidi"/>
          <w:sz w:val="20"/>
          <w:szCs w:val="20"/>
        </w:rPr>
        <w:t>10. Cimperman M, et al. Costs and benefits of telehealth and tele-nursing in chronic care: a health policy perspective. Health Policy. 2019;123(5):501-510.</w:t>
      </w:r>
    </w:p>
    <w:p w14:paraId="5D07E718" w14:textId="77777777" w:rsidR="00F52217" w:rsidRPr="00DB7815" w:rsidRDefault="00F5614E" w:rsidP="009B2B92">
      <w:pPr>
        <w:spacing w:line="240" w:lineRule="auto"/>
        <w:rPr>
          <w:rFonts w:asciiTheme="majorBidi" w:hAnsiTheme="majorBidi" w:cstheme="majorBidi"/>
          <w:sz w:val="20"/>
          <w:szCs w:val="20"/>
        </w:rPr>
      </w:pPr>
      <w:r w:rsidRPr="00DB7815">
        <w:rPr>
          <w:rFonts w:asciiTheme="majorBidi" w:hAnsiTheme="majorBidi" w:cstheme="majorBidi"/>
          <w:sz w:val="20"/>
          <w:szCs w:val="20"/>
        </w:rPr>
        <w:lastRenderedPageBreak/>
        <w:t xml:space="preserve">11. Topaz M, Rao A. Technological innovations in nursing care delivery: a scoping review. Int J </w:t>
      </w:r>
      <w:proofErr w:type="spellStart"/>
      <w:r w:rsidRPr="00DB7815">
        <w:rPr>
          <w:rFonts w:asciiTheme="majorBidi" w:hAnsiTheme="majorBidi" w:cstheme="majorBidi"/>
          <w:sz w:val="20"/>
          <w:szCs w:val="20"/>
        </w:rPr>
        <w:t>Nurs</w:t>
      </w:r>
      <w:proofErr w:type="spellEnd"/>
      <w:r w:rsidRPr="00DB7815">
        <w:rPr>
          <w:rFonts w:asciiTheme="majorBidi" w:hAnsiTheme="majorBidi" w:cstheme="majorBidi"/>
          <w:sz w:val="20"/>
          <w:szCs w:val="20"/>
        </w:rPr>
        <w:t xml:space="preserve"> Stud. </w:t>
      </w:r>
      <w:proofErr w:type="gramStart"/>
      <w:r w:rsidRPr="00DB7815">
        <w:rPr>
          <w:rFonts w:asciiTheme="majorBidi" w:hAnsiTheme="majorBidi" w:cstheme="majorBidi"/>
          <w:sz w:val="20"/>
          <w:szCs w:val="20"/>
        </w:rPr>
        <w:t>2019;98:104</w:t>
      </w:r>
      <w:proofErr w:type="gramEnd"/>
      <w:r w:rsidRPr="00DB7815">
        <w:rPr>
          <w:rFonts w:asciiTheme="majorBidi" w:hAnsiTheme="majorBidi" w:cstheme="majorBidi"/>
          <w:sz w:val="20"/>
          <w:szCs w:val="20"/>
        </w:rPr>
        <w:t>-115.</w:t>
      </w:r>
    </w:p>
    <w:p w14:paraId="133979F5" w14:textId="32CBAD4C" w:rsidR="00F52217" w:rsidRPr="00DB7815" w:rsidRDefault="00F5614E" w:rsidP="009B2B92">
      <w:pPr>
        <w:spacing w:line="240" w:lineRule="auto"/>
        <w:rPr>
          <w:rFonts w:asciiTheme="majorBidi" w:hAnsiTheme="majorBidi" w:cstheme="majorBidi"/>
          <w:sz w:val="20"/>
          <w:szCs w:val="20"/>
        </w:rPr>
      </w:pPr>
      <w:r w:rsidRPr="00DB7815">
        <w:rPr>
          <w:rFonts w:asciiTheme="majorBidi" w:hAnsiTheme="majorBidi" w:cstheme="majorBidi"/>
          <w:sz w:val="20"/>
          <w:szCs w:val="20"/>
        </w:rPr>
        <w:t xml:space="preserve">12. Fukuda H, et al. Perceived autonomy and self-esteem among elderly residents in community settings. BMC </w:t>
      </w:r>
      <w:proofErr w:type="spellStart"/>
      <w:r w:rsidRPr="00DB7815">
        <w:rPr>
          <w:rFonts w:asciiTheme="majorBidi" w:hAnsiTheme="majorBidi" w:cstheme="majorBidi"/>
          <w:sz w:val="20"/>
          <w:szCs w:val="20"/>
        </w:rPr>
        <w:t>Geriatr</w:t>
      </w:r>
      <w:proofErr w:type="spellEnd"/>
      <w:r w:rsidRPr="00DB7815">
        <w:rPr>
          <w:rFonts w:asciiTheme="majorBidi" w:hAnsiTheme="majorBidi" w:cstheme="majorBidi"/>
          <w:sz w:val="20"/>
          <w:szCs w:val="20"/>
        </w:rPr>
        <w:t xml:space="preserve">. </w:t>
      </w:r>
      <w:proofErr w:type="gramStart"/>
      <w:r w:rsidRPr="00DB7815">
        <w:rPr>
          <w:rFonts w:asciiTheme="majorBidi" w:hAnsiTheme="majorBidi" w:cstheme="majorBidi"/>
          <w:sz w:val="20"/>
          <w:szCs w:val="20"/>
        </w:rPr>
        <w:t>2020;20:125</w:t>
      </w:r>
      <w:proofErr w:type="gramEnd"/>
      <w:r w:rsidRPr="00DB7815">
        <w:rPr>
          <w:rFonts w:asciiTheme="majorBidi" w:hAnsiTheme="majorBidi" w:cstheme="majorBidi"/>
          <w:sz w:val="20"/>
          <w:szCs w:val="20"/>
        </w:rPr>
        <w:t>.</w:t>
      </w:r>
    </w:p>
    <w:p w14:paraId="1F08779C" w14:textId="77777777" w:rsidR="00F52217" w:rsidRPr="00DB7815" w:rsidRDefault="00F5614E" w:rsidP="009B2B92">
      <w:pPr>
        <w:spacing w:line="240" w:lineRule="auto"/>
        <w:rPr>
          <w:rFonts w:asciiTheme="majorBidi" w:hAnsiTheme="majorBidi" w:cstheme="majorBidi"/>
          <w:sz w:val="20"/>
          <w:szCs w:val="20"/>
        </w:rPr>
      </w:pPr>
      <w:r w:rsidRPr="00DB7815">
        <w:rPr>
          <w:rFonts w:asciiTheme="majorBidi" w:hAnsiTheme="majorBidi" w:cstheme="majorBidi"/>
          <w:sz w:val="20"/>
          <w:szCs w:val="20"/>
        </w:rPr>
        <w:t xml:space="preserve">13. Khosravi P, et al. Virtual nurse counseling and mental health in Iranian older adults: a quasi-experimental study. J </w:t>
      </w:r>
      <w:proofErr w:type="spellStart"/>
      <w:r w:rsidRPr="00DB7815">
        <w:rPr>
          <w:rFonts w:asciiTheme="majorBidi" w:hAnsiTheme="majorBidi" w:cstheme="majorBidi"/>
          <w:sz w:val="20"/>
          <w:szCs w:val="20"/>
        </w:rPr>
        <w:t>Geriatr</w:t>
      </w:r>
      <w:proofErr w:type="spellEnd"/>
      <w:r w:rsidRPr="00DB7815">
        <w:rPr>
          <w:rFonts w:asciiTheme="majorBidi" w:hAnsiTheme="majorBidi" w:cstheme="majorBidi"/>
          <w:sz w:val="20"/>
          <w:szCs w:val="20"/>
        </w:rPr>
        <w:t xml:space="preserve"> Psychiatry. 2021;36(2):89-97.</w:t>
      </w:r>
    </w:p>
    <w:p w14:paraId="22E159B7" w14:textId="77777777" w:rsidR="00F52217" w:rsidRPr="00DB7815" w:rsidRDefault="00F5614E" w:rsidP="009B2B92">
      <w:pPr>
        <w:spacing w:line="240" w:lineRule="auto"/>
        <w:rPr>
          <w:rFonts w:asciiTheme="majorBidi" w:hAnsiTheme="majorBidi" w:cstheme="majorBidi"/>
          <w:sz w:val="20"/>
          <w:szCs w:val="20"/>
        </w:rPr>
      </w:pPr>
      <w:r w:rsidRPr="00DB7815">
        <w:rPr>
          <w:rFonts w:asciiTheme="majorBidi" w:hAnsiTheme="majorBidi" w:cstheme="majorBidi"/>
          <w:sz w:val="20"/>
          <w:szCs w:val="20"/>
        </w:rPr>
        <w:t xml:space="preserve">14. Gomes B, et al. Tele-nursing support for heart failure patients: psychological and clinical outcomes. </w:t>
      </w:r>
      <w:proofErr w:type="spellStart"/>
      <w:r w:rsidRPr="00DB7815">
        <w:rPr>
          <w:rFonts w:asciiTheme="majorBidi" w:hAnsiTheme="majorBidi" w:cstheme="majorBidi"/>
          <w:sz w:val="20"/>
          <w:szCs w:val="20"/>
        </w:rPr>
        <w:t>Eur</w:t>
      </w:r>
      <w:proofErr w:type="spellEnd"/>
      <w:r w:rsidRPr="00DB7815">
        <w:rPr>
          <w:rFonts w:asciiTheme="majorBidi" w:hAnsiTheme="majorBidi" w:cstheme="majorBidi"/>
          <w:sz w:val="20"/>
          <w:szCs w:val="20"/>
        </w:rPr>
        <w:t xml:space="preserve"> J Cardiovasc </w:t>
      </w:r>
      <w:proofErr w:type="spellStart"/>
      <w:r w:rsidRPr="00DB7815">
        <w:rPr>
          <w:rFonts w:asciiTheme="majorBidi" w:hAnsiTheme="majorBidi" w:cstheme="majorBidi"/>
          <w:sz w:val="20"/>
          <w:szCs w:val="20"/>
        </w:rPr>
        <w:t>Nurs</w:t>
      </w:r>
      <w:proofErr w:type="spellEnd"/>
      <w:r w:rsidRPr="00DB7815">
        <w:rPr>
          <w:rFonts w:asciiTheme="majorBidi" w:hAnsiTheme="majorBidi" w:cstheme="majorBidi"/>
          <w:sz w:val="20"/>
          <w:szCs w:val="20"/>
        </w:rPr>
        <w:t>. 2022;21(4):310-318.</w:t>
      </w:r>
    </w:p>
    <w:p w14:paraId="3A3B843E" w14:textId="77777777" w:rsidR="00F52217" w:rsidRPr="00DB7815" w:rsidRDefault="00F5614E" w:rsidP="009B2B92">
      <w:pPr>
        <w:spacing w:line="240" w:lineRule="auto"/>
        <w:rPr>
          <w:rFonts w:asciiTheme="majorBidi" w:hAnsiTheme="majorBidi" w:cstheme="majorBidi"/>
          <w:sz w:val="20"/>
          <w:szCs w:val="20"/>
        </w:rPr>
      </w:pPr>
      <w:r w:rsidRPr="00DB7815">
        <w:rPr>
          <w:rFonts w:asciiTheme="majorBidi" w:hAnsiTheme="majorBidi" w:cstheme="majorBidi"/>
          <w:sz w:val="20"/>
          <w:szCs w:val="20"/>
        </w:rPr>
        <w:t>15. Reyes EPG, et al. Understanding older adults' experiences with technology and telehealth: qualitative insights. JMIR Aging. 2023;6(1</w:t>
      </w:r>
      <w:proofErr w:type="gramStart"/>
      <w:r w:rsidRPr="00DB7815">
        <w:rPr>
          <w:rFonts w:asciiTheme="majorBidi" w:hAnsiTheme="majorBidi" w:cstheme="majorBidi"/>
          <w:sz w:val="20"/>
          <w:szCs w:val="20"/>
        </w:rPr>
        <w:t>):e</w:t>
      </w:r>
      <w:proofErr w:type="gramEnd"/>
      <w:r w:rsidRPr="00DB7815">
        <w:rPr>
          <w:rFonts w:asciiTheme="majorBidi" w:hAnsiTheme="majorBidi" w:cstheme="majorBidi"/>
          <w:sz w:val="20"/>
          <w:szCs w:val="20"/>
        </w:rPr>
        <w:t>37654.</w:t>
      </w:r>
    </w:p>
    <w:p w14:paraId="184D124C" w14:textId="77777777" w:rsidR="00F52217" w:rsidRPr="00DB7815" w:rsidRDefault="00F5614E" w:rsidP="009B2B92">
      <w:pPr>
        <w:spacing w:line="240" w:lineRule="auto"/>
        <w:rPr>
          <w:rFonts w:asciiTheme="majorBidi" w:hAnsiTheme="majorBidi" w:cstheme="majorBidi"/>
          <w:sz w:val="20"/>
          <w:szCs w:val="20"/>
        </w:rPr>
      </w:pPr>
      <w:r w:rsidRPr="00DB7815">
        <w:rPr>
          <w:rFonts w:asciiTheme="majorBidi" w:hAnsiTheme="majorBidi" w:cstheme="majorBidi"/>
          <w:sz w:val="20"/>
          <w:szCs w:val="20"/>
        </w:rPr>
        <w:t xml:space="preserve">16. Yang X, et al. Meta-analysis of tele-nursing interventions in geriatric populations. </w:t>
      </w:r>
      <w:proofErr w:type="spellStart"/>
      <w:r w:rsidRPr="00DB7815">
        <w:rPr>
          <w:rFonts w:asciiTheme="majorBidi" w:hAnsiTheme="majorBidi" w:cstheme="majorBidi"/>
          <w:sz w:val="20"/>
          <w:szCs w:val="20"/>
        </w:rPr>
        <w:t>Nurs</w:t>
      </w:r>
      <w:proofErr w:type="spellEnd"/>
      <w:r w:rsidRPr="00DB7815">
        <w:rPr>
          <w:rFonts w:asciiTheme="majorBidi" w:hAnsiTheme="majorBidi" w:cstheme="majorBidi"/>
          <w:sz w:val="20"/>
          <w:szCs w:val="20"/>
        </w:rPr>
        <w:t xml:space="preserve"> Open. 2022;9(6):3456-3470.</w:t>
      </w:r>
    </w:p>
    <w:p w14:paraId="5FC3A3EE" w14:textId="77777777" w:rsidR="00F52217" w:rsidRPr="00DB7815" w:rsidRDefault="00F5614E" w:rsidP="009B2B92">
      <w:pPr>
        <w:spacing w:line="240" w:lineRule="auto"/>
        <w:rPr>
          <w:rFonts w:asciiTheme="majorBidi" w:hAnsiTheme="majorBidi" w:cstheme="majorBidi"/>
          <w:sz w:val="20"/>
          <w:szCs w:val="20"/>
        </w:rPr>
      </w:pPr>
      <w:r w:rsidRPr="00DB7815">
        <w:rPr>
          <w:rFonts w:asciiTheme="majorBidi" w:hAnsiTheme="majorBidi" w:cstheme="majorBidi"/>
          <w:sz w:val="20"/>
          <w:szCs w:val="20"/>
        </w:rPr>
        <w:t xml:space="preserve">17. Chang L, et al. Systematic review of remote nursing and functional independence in the elderly. Front Public Health. </w:t>
      </w:r>
      <w:proofErr w:type="gramStart"/>
      <w:r w:rsidRPr="00DB7815">
        <w:rPr>
          <w:rFonts w:asciiTheme="majorBidi" w:hAnsiTheme="majorBidi" w:cstheme="majorBidi"/>
          <w:sz w:val="20"/>
          <w:szCs w:val="20"/>
        </w:rPr>
        <w:t>2023;11:789012</w:t>
      </w:r>
      <w:proofErr w:type="gramEnd"/>
      <w:r w:rsidRPr="00DB7815">
        <w:rPr>
          <w:rFonts w:asciiTheme="majorBidi" w:hAnsiTheme="majorBidi" w:cstheme="majorBidi"/>
          <w:sz w:val="20"/>
          <w:szCs w:val="20"/>
        </w:rPr>
        <w:t>.</w:t>
      </w:r>
    </w:p>
    <w:p w14:paraId="6F74D5BF" w14:textId="77777777" w:rsidR="00F52217" w:rsidRPr="00DB7815" w:rsidRDefault="00F5614E" w:rsidP="009B2B92">
      <w:pPr>
        <w:spacing w:line="240" w:lineRule="auto"/>
        <w:rPr>
          <w:rFonts w:asciiTheme="majorBidi" w:hAnsiTheme="majorBidi" w:cstheme="majorBidi"/>
          <w:sz w:val="20"/>
          <w:szCs w:val="20"/>
        </w:rPr>
      </w:pPr>
      <w:r w:rsidRPr="00DB7815">
        <w:rPr>
          <w:rFonts w:asciiTheme="majorBidi" w:hAnsiTheme="majorBidi" w:cstheme="majorBidi"/>
          <w:sz w:val="20"/>
          <w:szCs w:val="20"/>
        </w:rPr>
        <w:t>18. Liu Y, et al. Safety outcomes of remote health monitoring in older adults. Sensors (Basel). 2020;20(12):3456.</w:t>
      </w:r>
    </w:p>
    <w:p w14:paraId="7038FCFD" w14:textId="75EA906C" w:rsidR="00F52217" w:rsidRPr="00DB7815" w:rsidRDefault="00F5614E" w:rsidP="009B2B92">
      <w:pPr>
        <w:spacing w:line="240" w:lineRule="auto"/>
        <w:rPr>
          <w:rFonts w:asciiTheme="majorBidi" w:hAnsiTheme="majorBidi" w:cstheme="majorBidi"/>
          <w:sz w:val="20"/>
          <w:szCs w:val="20"/>
        </w:rPr>
      </w:pPr>
      <w:r w:rsidRPr="00DB7815">
        <w:rPr>
          <w:rFonts w:asciiTheme="majorBidi" w:hAnsiTheme="majorBidi" w:cstheme="majorBidi"/>
          <w:sz w:val="20"/>
          <w:szCs w:val="20"/>
        </w:rPr>
        <w:t xml:space="preserve">19. Moyle W, et al. Telehealth and nurse communication in long-term care facilities: effects on adherence and trust. J Clin </w:t>
      </w:r>
      <w:proofErr w:type="spellStart"/>
      <w:r w:rsidRPr="00DB7815">
        <w:rPr>
          <w:rFonts w:asciiTheme="majorBidi" w:hAnsiTheme="majorBidi" w:cstheme="majorBidi"/>
          <w:sz w:val="20"/>
          <w:szCs w:val="20"/>
        </w:rPr>
        <w:t>Nurs</w:t>
      </w:r>
      <w:proofErr w:type="spellEnd"/>
      <w:r w:rsidRPr="00DB7815">
        <w:rPr>
          <w:rFonts w:asciiTheme="majorBidi" w:hAnsiTheme="majorBidi" w:cstheme="majorBidi"/>
          <w:sz w:val="20"/>
          <w:szCs w:val="20"/>
        </w:rPr>
        <w:t>. 2020;29(15-16):2850-2862.</w:t>
      </w:r>
    </w:p>
    <w:p w14:paraId="554E78CF" w14:textId="7EB57E81" w:rsidR="00F52217" w:rsidRDefault="00F5614E" w:rsidP="009B2B92">
      <w:pPr>
        <w:spacing w:line="240" w:lineRule="auto"/>
        <w:rPr>
          <w:rFonts w:asciiTheme="majorBidi" w:hAnsiTheme="majorBidi" w:cstheme="majorBidi"/>
          <w:sz w:val="20"/>
          <w:szCs w:val="20"/>
        </w:rPr>
      </w:pPr>
      <w:r w:rsidRPr="00DB7815">
        <w:rPr>
          <w:rFonts w:asciiTheme="majorBidi" w:hAnsiTheme="majorBidi" w:cstheme="majorBidi"/>
          <w:sz w:val="20"/>
          <w:szCs w:val="20"/>
        </w:rPr>
        <w:t>20. OECD. Health at a Glance: Global Aging and Workforce Shortages. OECD Publishing; 2022.</w:t>
      </w:r>
    </w:p>
    <w:p w14:paraId="5F35FF94" w14:textId="0C7D1E41" w:rsidR="003A573A" w:rsidRPr="003A573A" w:rsidRDefault="003A573A" w:rsidP="009B2B92">
      <w:pPr>
        <w:spacing w:line="240" w:lineRule="auto"/>
        <w:rPr>
          <w:rFonts w:asciiTheme="majorBidi" w:hAnsiTheme="majorBidi" w:cstheme="majorBidi"/>
          <w:sz w:val="20"/>
          <w:szCs w:val="20"/>
        </w:rPr>
      </w:pPr>
      <w:r>
        <w:rPr>
          <w:rFonts w:asciiTheme="majorBidi" w:hAnsiTheme="majorBidi" w:cstheme="majorBidi"/>
          <w:sz w:val="20"/>
          <w:szCs w:val="20"/>
        </w:rPr>
        <w:t xml:space="preserve">21. </w:t>
      </w:r>
      <w:r w:rsidRPr="003A573A">
        <w:rPr>
          <w:rFonts w:asciiTheme="majorBidi" w:hAnsiTheme="majorBidi" w:cstheme="majorBidi"/>
          <w:sz w:val="20"/>
          <w:szCs w:val="20"/>
        </w:rPr>
        <w:t xml:space="preserve">Ament B, de Vries M, et al. </w:t>
      </w:r>
      <w:proofErr w:type="gramStart"/>
      <w:r w:rsidRPr="003A573A">
        <w:rPr>
          <w:rFonts w:asciiTheme="majorBidi" w:hAnsiTheme="majorBidi" w:cstheme="majorBidi"/>
          <w:sz w:val="20"/>
          <w:szCs w:val="20"/>
        </w:rPr>
        <w:t>Older</w:t>
      </w:r>
      <w:proofErr w:type="gramEnd"/>
      <w:r w:rsidRPr="003A573A">
        <w:rPr>
          <w:rFonts w:asciiTheme="majorBidi" w:hAnsiTheme="majorBidi" w:cstheme="majorBidi"/>
          <w:sz w:val="20"/>
          <w:szCs w:val="20"/>
        </w:rPr>
        <w:t xml:space="preserve"> adults’ emotional experiences with telehealth communication: A qualitative study. *Journal of Geriatric Care </w:t>
      </w:r>
      <w:proofErr w:type="gramStart"/>
      <w:r w:rsidRPr="003A573A">
        <w:rPr>
          <w:rFonts w:asciiTheme="majorBidi" w:hAnsiTheme="majorBidi" w:cstheme="majorBidi"/>
          <w:sz w:val="20"/>
          <w:szCs w:val="20"/>
        </w:rPr>
        <w:t>Technology.*</w:t>
      </w:r>
      <w:proofErr w:type="gramEnd"/>
      <w:r w:rsidRPr="003A573A">
        <w:rPr>
          <w:rFonts w:asciiTheme="majorBidi" w:hAnsiTheme="majorBidi" w:cstheme="majorBidi"/>
          <w:sz w:val="20"/>
          <w:szCs w:val="20"/>
        </w:rPr>
        <w:t xml:space="preserve"> 2021.</w:t>
      </w:r>
    </w:p>
    <w:p w14:paraId="0BF13291" w14:textId="77A8B471" w:rsidR="003A573A" w:rsidRPr="003A573A" w:rsidRDefault="003A573A" w:rsidP="009B2B92">
      <w:pPr>
        <w:spacing w:line="240" w:lineRule="auto"/>
        <w:rPr>
          <w:rFonts w:asciiTheme="majorBidi" w:hAnsiTheme="majorBidi" w:cstheme="majorBidi"/>
          <w:sz w:val="20"/>
          <w:szCs w:val="20"/>
        </w:rPr>
      </w:pPr>
      <w:r>
        <w:rPr>
          <w:rFonts w:asciiTheme="majorBidi" w:hAnsiTheme="majorBidi" w:cstheme="majorBidi"/>
          <w:sz w:val="20"/>
          <w:szCs w:val="20"/>
        </w:rPr>
        <w:t xml:space="preserve">22. </w:t>
      </w:r>
      <w:r w:rsidRPr="003A573A">
        <w:rPr>
          <w:rFonts w:asciiTheme="majorBidi" w:hAnsiTheme="majorBidi" w:cstheme="majorBidi"/>
          <w:sz w:val="20"/>
          <w:szCs w:val="20"/>
        </w:rPr>
        <w:t xml:space="preserve">Nguyen P, Clarke M. Smart-home and AI technologies for aging in place: A review of nursing applications. *International Journal of Medical </w:t>
      </w:r>
      <w:proofErr w:type="gramStart"/>
      <w:r w:rsidRPr="003A573A">
        <w:rPr>
          <w:rFonts w:asciiTheme="majorBidi" w:hAnsiTheme="majorBidi" w:cstheme="majorBidi"/>
          <w:sz w:val="20"/>
          <w:szCs w:val="20"/>
        </w:rPr>
        <w:t>Informatics.*</w:t>
      </w:r>
      <w:proofErr w:type="gramEnd"/>
      <w:r w:rsidRPr="003A573A">
        <w:rPr>
          <w:rFonts w:asciiTheme="majorBidi" w:hAnsiTheme="majorBidi" w:cstheme="majorBidi"/>
          <w:sz w:val="20"/>
          <w:szCs w:val="20"/>
        </w:rPr>
        <w:t xml:space="preserve"> 2022; 158:104651.</w:t>
      </w:r>
    </w:p>
    <w:p w14:paraId="546F139D" w14:textId="1E1F44A5" w:rsidR="003A573A" w:rsidRPr="003A573A" w:rsidRDefault="003A573A" w:rsidP="009B2B92">
      <w:pPr>
        <w:spacing w:line="240" w:lineRule="auto"/>
        <w:rPr>
          <w:rFonts w:asciiTheme="majorBidi" w:hAnsiTheme="majorBidi" w:cstheme="majorBidi"/>
          <w:sz w:val="20"/>
          <w:szCs w:val="20"/>
        </w:rPr>
      </w:pPr>
      <w:r>
        <w:rPr>
          <w:rFonts w:asciiTheme="majorBidi" w:hAnsiTheme="majorBidi" w:cstheme="majorBidi"/>
          <w:sz w:val="20"/>
          <w:szCs w:val="20"/>
        </w:rPr>
        <w:t xml:space="preserve">23. </w:t>
      </w:r>
      <w:r w:rsidRPr="003A573A">
        <w:rPr>
          <w:rFonts w:asciiTheme="majorBidi" w:hAnsiTheme="majorBidi" w:cstheme="majorBidi"/>
          <w:sz w:val="20"/>
          <w:szCs w:val="20"/>
        </w:rPr>
        <w:t xml:space="preserve">Heart T, </w:t>
      </w:r>
      <w:proofErr w:type="spellStart"/>
      <w:r w:rsidRPr="003A573A">
        <w:rPr>
          <w:rFonts w:asciiTheme="majorBidi" w:hAnsiTheme="majorBidi" w:cstheme="majorBidi"/>
          <w:sz w:val="20"/>
          <w:szCs w:val="20"/>
        </w:rPr>
        <w:t>Kalderon</w:t>
      </w:r>
      <w:proofErr w:type="spellEnd"/>
      <w:r w:rsidRPr="003A573A">
        <w:rPr>
          <w:rFonts w:asciiTheme="majorBidi" w:hAnsiTheme="majorBidi" w:cstheme="majorBidi"/>
          <w:sz w:val="20"/>
          <w:szCs w:val="20"/>
        </w:rPr>
        <w:t xml:space="preserve"> E. Elderly users’ acceptance of visual telehealth systems. *Methods of Information in </w:t>
      </w:r>
      <w:proofErr w:type="gramStart"/>
      <w:r w:rsidRPr="003A573A">
        <w:rPr>
          <w:rFonts w:asciiTheme="majorBidi" w:hAnsiTheme="majorBidi" w:cstheme="majorBidi"/>
          <w:sz w:val="20"/>
          <w:szCs w:val="20"/>
        </w:rPr>
        <w:t>Medicine.*</w:t>
      </w:r>
      <w:proofErr w:type="gramEnd"/>
      <w:r w:rsidRPr="003A573A">
        <w:rPr>
          <w:rFonts w:asciiTheme="majorBidi" w:hAnsiTheme="majorBidi" w:cstheme="majorBidi"/>
          <w:sz w:val="20"/>
          <w:szCs w:val="20"/>
        </w:rPr>
        <w:t xml:space="preserve"> 2019; 58(2):50–59.</w:t>
      </w:r>
    </w:p>
    <w:p w14:paraId="44504E78" w14:textId="668260E2" w:rsidR="003A573A" w:rsidRPr="003A573A" w:rsidRDefault="003A573A" w:rsidP="009B2B92">
      <w:pPr>
        <w:spacing w:line="240" w:lineRule="auto"/>
        <w:rPr>
          <w:rFonts w:asciiTheme="majorBidi" w:hAnsiTheme="majorBidi" w:cstheme="majorBidi"/>
          <w:sz w:val="20"/>
          <w:szCs w:val="20"/>
        </w:rPr>
      </w:pPr>
      <w:r>
        <w:rPr>
          <w:rFonts w:asciiTheme="majorBidi" w:hAnsiTheme="majorBidi" w:cstheme="majorBidi"/>
          <w:sz w:val="20"/>
          <w:szCs w:val="20"/>
        </w:rPr>
        <w:t xml:space="preserve">24. </w:t>
      </w:r>
      <w:r w:rsidRPr="003A573A">
        <w:rPr>
          <w:rFonts w:asciiTheme="majorBidi" w:hAnsiTheme="majorBidi" w:cstheme="majorBidi"/>
          <w:sz w:val="20"/>
          <w:szCs w:val="20"/>
        </w:rPr>
        <w:t xml:space="preserve">Peek STM, et al. Factors influencing acceptance of technology for aging in place: A systematic review. *International Journal of Medical </w:t>
      </w:r>
      <w:proofErr w:type="gramStart"/>
      <w:r w:rsidRPr="003A573A">
        <w:rPr>
          <w:rFonts w:asciiTheme="majorBidi" w:hAnsiTheme="majorBidi" w:cstheme="majorBidi"/>
          <w:sz w:val="20"/>
          <w:szCs w:val="20"/>
        </w:rPr>
        <w:t>Informatics.*</w:t>
      </w:r>
      <w:proofErr w:type="gramEnd"/>
      <w:r w:rsidRPr="003A573A">
        <w:rPr>
          <w:rFonts w:asciiTheme="majorBidi" w:hAnsiTheme="majorBidi" w:cstheme="majorBidi"/>
          <w:sz w:val="20"/>
          <w:szCs w:val="20"/>
        </w:rPr>
        <w:t xml:space="preserve"> 2019; 129:73–84.</w:t>
      </w:r>
    </w:p>
    <w:p w14:paraId="36000BD5" w14:textId="77777777" w:rsidR="003A573A" w:rsidRPr="00DB7815" w:rsidRDefault="003A573A" w:rsidP="009B2B92">
      <w:pPr>
        <w:spacing w:line="240" w:lineRule="auto"/>
        <w:rPr>
          <w:rFonts w:asciiTheme="majorBidi" w:hAnsiTheme="majorBidi" w:cstheme="majorBidi"/>
          <w:sz w:val="20"/>
          <w:szCs w:val="20"/>
        </w:rPr>
      </w:pPr>
    </w:p>
    <w:sectPr w:rsidR="003A573A" w:rsidRPr="00DB7815" w:rsidSect="009B2B92">
      <w:headerReference w:type="even" r:id="rId8"/>
      <w:headerReference w:type="default" r:id="rId9"/>
      <w:footerReference w:type="even" r:id="rId10"/>
      <w:footerReference w:type="default" r:id="rId11"/>
      <w:headerReference w:type="first" r:id="rId12"/>
      <w:footerReference w:type="first" r:id="rId13"/>
      <w:pgSz w:w="12240" w:h="15840"/>
      <w:pgMar w:top="2304" w:right="1426" w:bottom="1426" w:left="142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6E2C3E6" w14:textId="77777777" w:rsidR="004E4309" w:rsidRDefault="004E4309" w:rsidP="00DB7815">
      <w:pPr>
        <w:spacing w:after="0" w:line="240" w:lineRule="auto"/>
      </w:pPr>
      <w:r>
        <w:separator/>
      </w:r>
    </w:p>
  </w:endnote>
  <w:endnote w:type="continuationSeparator" w:id="0">
    <w:p w14:paraId="4775CA64" w14:textId="77777777" w:rsidR="004E4309" w:rsidRDefault="004E4309" w:rsidP="00DB78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3F19E4" w14:textId="77777777" w:rsidR="00DB7815" w:rsidRDefault="00DB781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0DBD5B" w14:textId="77777777" w:rsidR="00A82A5E" w:rsidRDefault="00A82A5E">
    <w:pPr>
      <w:pStyle w:val="Footer"/>
      <w:tabs>
        <w:tab w:val="clear" w:pos="4680"/>
        <w:tab w:val="clear" w:pos="9360"/>
      </w:tabs>
      <w:jc w:val="center"/>
      <w:rPr>
        <w:caps/>
        <w:noProof/>
        <w:color w:val="4F81BD" w:themeColor="accent1"/>
      </w:rPr>
    </w:pPr>
    <w:r>
      <w:rPr>
        <w:caps/>
        <w:color w:val="4F81BD" w:themeColor="accent1"/>
      </w:rPr>
      <w:fldChar w:fldCharType="begin"/>
    </w:r>
    <w:r>
      <w:rPr>
        <w:caps/>
        <w:color w:val="4F81BD" w:themeColor="accent1"/>
      </w:rPr>
      <w:instrText xml:space="preserve"> PAGE   \* MERGEFORMAT </w:instrText>
    </w:r>
    <w:r>
      <w:rPr>
        <w:caps/>
        <w:color w:val="4F81BD" w:themeColor="accent1"/>
      </w:rPr>
      <w:fldChar w:fldCharType="separate"/>
    </w:r>
    <w:r>
      <w:rPr>
        <w:caps/>
        <w:noProof/>
        <w:color w:val="4F81BD" w:themeColor="accent1"/>
      </w:rPr>
      <w:t>2</w:t>
    </w:r>
    <w:r>
      <w:rPr>
        <w:caps/>
        <w:noProof/>
        <w:color w:val="4F81BD" w:themeColor="accent1"/>
      </w:rPr>
      <w:fldChar w:fldCharType="end"/>
    </w:r>
  </w:p>
  <w:p w14:paraId="35A73D39" w14:textId="77777777" w:rsidR="00DB7815" w:rsidRDefault="00DB781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996321" w14:textId="77777777" w:rsidR="00DB7815" w:rsidRDefault="00DB781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32F3D02" w14:textId="77777777" w:rsidR="004E4309" w:rsidRDefault="004E4309" w:rsidP="00DB7815">
      <w:pPr>
        <w:spacing w:after="0" w:line="240" w:lineRule="auto"/>
      </w:pPr>
      <w:r>
        <w:separator/>
      </w:r>
    </w:p>
  </w:footnote>
  <w:footnote w:type="continuationSeparator" w:id="0">
    <w:p w14:paraId="3E4414B5" w14:textId="77777777" w:rsidR="004E4309" w:rsidRDefault="004E4309" w:rsidP="00DB7815">
      <w:pPr>
        <w:spacing w:after="0" w:line="240" w:lineRule="auto"/>
      </w:pPr>
      <w:r>
        <w:continuationSeparator/>
      </w:r>
    </w:p>
  </w:footnote>
  <w:footnote w:id="1">
    <w:p w14:paraId="43D41AA2" w14:textId="5506A3DF" w:rsidR="00CC3548" w:rsidRDefault="00CC3548">
      <w:pPr>
        <w:pStyle w:val="FootnoteText"/>
      </w:pPr>
      <w:r>
        <w:rPr>
          <w:rStyle w:val="FootnoteReference"/>
        </w:rPr>
        <w:footnoteRef/>
      </w:r>
      <w:r>
        <w:t xml:space="preserve"> </w:t>
      </w:r>
      <w:r w:rsidRPr="00FD342D">
        <w:rPr>
          <w:rFonts w:asciiTheme="majorBidi" w:hAnsiTheme="majorBidi" w:cstheme="majorBidi"/>
        </w:rPr>
        <w:t>quality of life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0A7807" w14:textId="77777777" w:rsidR="00DB7815" w:rsidRDefault="00DB781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D1E1A9" w14:textId="4EFD3C6B" w:rsidR="00DB7815" w:rsidRDefault="00DB7815" w:rsidP="00DB7815">
    <w:pPr>
      <w:pStyle w:val="Header"/>
    </w:pPr>
    <w:r w:rsidRPr="00DB7815">
      <w:rPr>
        <w:rFonts w:asciiTheme="majorBidi" w:hAnsiTheme="majorBidi" w:cstheme="majorBidi"/>
        <w:noProof/>
        <w:sz w:val="20"/>
        <w:szCs w:val="20"/>
      </w:rPr>
      <w:drawing>
        <wp:anchor distT="0" distB="0" distL="114300" distR="114300" simplePos="0" relativeHeight="251650048" behindDoc="0" locked="0" layoutInCell="1" allowOverlap="1" wp14:anchorId="201CC75F" wp14:editId="4CAFC97E">
          <wp:simplePos x="0" y="0"/>
          <wp:positionH relativeFrom="column">
            <wp:posOffset>942974</wp:posOffset>
          </wp:positionH>
          <wp:positionV relativeFrom="paragraph">
            <wp:posOffset>-457200</wp:posOffset>
          </wp:positionV>
          <wp:extent cx="5688965" cy="942975"/>
          <wp:effectExtent l="0" t="0" r="6985" b="9525"/>
          <wp:wrapTopAndBottom/>
          <wp:docPr id="2089690583"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7998891" name="Picture 937998891"/>
                  <pic:cNvPicPr/>
                </pic:nvPicPr>
                <pic:blipFill>
                  <a:blip r:embed="rId1"/>
                  <a:stretch>
                    <a:fillRect/>
                  </a:stretch>
                </pic:blipFill>
                <pic:spPr>
                  <a:xfrm>
                    <a:off x="0" y="0"/>
                    <a:ext cx="5688965" cy="942975"/>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5082F2" w14:textId="77777777" w:rsidR="00DB7815" w:rsidRDefault="00DB78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1F12353C"/>
    <w:multiLevelType w:val="hybridMultilevel"/>
    <w:tmpl w:val="F25087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4041179">
    <w:abstractNumId w:val="8"/>
  </w:num>
  <w:num w:numId="2" w16cid:durableId="2041392695">
    <w:abstractNumId w:val="6"/>
  </w:num>
  <w:num w:numId="3" w16cid:durableId="660737728">
    <w:abstractNumId w:val="5"/>
  </w:num>
  <w:num w:numId="4" w16cid:durableId="70277675">
    <w:abstractNumId w:val="4"/>
  </w:num>
  <w:num w:numId="5" w16cid:durableId="1689912191">
    <w:abstractNumId w:val="7"/>
  </w:num>
  <w:num w:numId="6" w16cid:durableId="816336851">
    <w:abstractNumId w:val="3"/>
  </w:num>
  <w:num w:numId="7" w16cid:durableId="2025016858">
    <w:abstractNumId w:val="2"/>
  </w:num>
  <w:num w:numId="8" w16cid:durableId="206572321">
    <w:abstractNumId w:val="1"/>
  </w:num>
  <w:num w:numId="9" w16cid:durableId="1001129336">
    <w:abstractNumId w:val="0"/>
  </w:num>
  <w:num w:numId="10" w16cid:durableId="119992618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6063C"/>
    <w:rsid w:val="000638FE"/>
    <w:rsid w:val="000A4BCE"/>
    <w:rsid w:val="001227AA"/>
    <w:rsid w:val="0015074B"/>
    <w:rsid w:val="001C3857"/>
    <w:rsid w:val="001F35DC"/>
    <w:rsid w:val="0020607D"/>
    <w:rsid w:val="002476AB"/>
    <w:rsid w:val="0029639D"/>
    <w:rsid w:val="003116A8"/>
    <w:rsid w:val="00316153"/>
    <w:rsid w:val="00326F90"/>
    <w:rsid w:val="003A573A"/>
    <w:rsid w:val="00416E01"/>
    <w:rsid w:val="00435B02"/>
    <w:rsid w:val="004B51E7"/>
    <w:rsid w:val="004E1F5E"/>
    <w:rsid w:val="004E4309"/>
    <w:rsid w:val="0051562A"/>
    <w:rsid w:val="00535D5F"/>
    <w:rsid w:val="005908D3"/>
    <w:rsid w:val="005D6A2B"/>
    <w:rsid w:val="006511EC"/>
    <w:rsid w:val="0066531F"/>
    <w:rsid w:val="006B4CF5"/>
    <w:rsid w:val="006D561F"/>
    <w:rsid w:val="00706675"/>
    <w:rsid w:val="00752B82"/>
    <w:rsid w:val="00754300"/>
    <w:rsid w:val="007604DB"/>
    <w:rsid w:val="00771446"/>
    <w:rsid w:val="00783072"/>
    <w:rsid w:val="007B7FA1"/>
    <w:rsid w:val="007E01D8"/>
    <w:rsid w:val="008A5854"/>
    <w:rsid w:val="008D6F02"/>
    <w:rsid w:val="008E1FB8"/>
    <w:rsid w:val="00922659"/>
    <w:rsid w:val="00941332"/>
    <w:rsid w:val="009B2B92"/>
    <w:rsid w:val="00A32A3B"/>
    <w:rsid w:val="00A51429"/>
    <w:rsid w:val="00A637DB"/>
    <w:rsid w:val="00A723E4"/>
    <w:rsid w:val="00A82A5E"/>
    <w:rsid w:val="00AA1D8D"/>
    <w:rsid w:val="00AC544C"/>
    <w:rsid w:val="00B47730"/>
    <w:rsid w:val="00B54268"/>
    <w:rsid w:val="00C46051"/>
    <w:rsid w:val="00C63AC9"/>
    <w:rsid w:val="00CA38E0"/>
    <w:rsid w:val="00CB0664"/>
    <w:rsid w:val="00CC3548"/>
    <w:rsid w:val="00D03E00"/>
    <w:rsid w:val="00DB6075"/>
    <w:rsid w:val="00DB7815"/>
    <w:rsid w:val="00E314DF"/>
    <w:rsid w:val="00E713A0"/>
    <w:rsid w:val="00E74026"/>
    <w:rsid w:val="00EB79F1"/>
    <w:rsid w:val="00EC7023"/>
    <w:rsid w:val="00F13D60"/>
    <w:rsid w:val="00F166AD"/>
    <w:rsid w:val="00F41BC5"/>
    <w:rsid w:val="00F52217"/>
    <w:rsid w:val="00F544C8"/>
    <w:rsid w:val="00F5614E"/>
    <w:rsid w:val="00FB19F5"/>
    <w:rsid w:val="00FC693F"/>
    <w:rsid w:val="00FD342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2F300EF"/>
  <w14:defaultImageDpi w14:val="300"/>
  <w15:docId w15:val="{A4313F71-ECD4-7143-972F-F5E968669D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FootnoteText">
    <w:name w:val="footnote text"/>
    <w:basedOn w:val="Normal"/>
    <w:link w:val="FootnoteTextChar"/>
    <w:uiPriority w:val="99"/>
    <w:semiHidden/>
    <w:unhideWhenUsed/>
    <w:rsid w:val="00CC354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CC3548"/>
    <w:rPr>
      <w:sz w:val="20"/>
      <w:szCs w:val="20"/>
    </w:rPr>
  </w:style>
  <w:style w:type="character" w:styleId="FootnoteReference">
    <w:name w:val="footnote reference"/>
    <w:basedOn w:val="DefaultParagraphFont"/>
    <w:uiPriority w:val="99"/>
    <w:semiHidden/>
    <w:unhideWhenUsed/>
    <w:rsid w:val="00CC354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95780566">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9</Pages>
  <Words>3877</Words>
  <Characters>22099</Characters>
  <Application>Microsoft Office Word</Application>
  <DocSecurity>0</DocSecurity>
  <Lines>184</Lines>
  <Paragraphs>51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25925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gree holmes</cp:lastModifiedBy>
  <cp:revision>6</cp:revision>
  <dcterms:created xsi:type="dcterms:W3CDTF">2025-11-14T18:11:00Z</dcterms:created>
  <dcterms:modified xsi:type="dcterms:W3CDTF">2025-11-14T18:14:00Z</dcterms:modified>
  <cp:category/>
</cp:coreProperties>
</file>