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373A0" w14:textId="77777777" w:rsidR="00931BA1" w:rsidRDefault="00931BA1" w:rsidP="00363C18">
      <w:pPr>
        <w:pStyle w:val="Title"/>
        <w:bidi w:val="0"/>
        <w:jc w:val="both"/>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637A94AF" w14:textId="77777777" w:rsidR="00446439" w:rsidRDefault="00446439" w:rsidP="00363C18">
      <w:pPr>
        <w:jc w:val="center"/>
        <w:rPr>
          <w:rFonts w:cs="Nazanin"/>
          <w:sz w:val="28"/>
          <w:szCs w:val="36"/>
        </w:rPr>
      </w:pPr>
      <w:r w:rsidRPr="00446439">
        <w:rPr>
          <w:rFonts w:cs="Nazanin"/>
          <w:sz w:val="28"/>
          <w:szCs w:val="36"/>
        </w:rPr>
        <w:t>Mindfulness-Based Digital Interventions to Prevent Burnout and Enhance Psychological Resilience in Nurses: A Systematic Review and Meta-Analysis</w:t>
      </w:r>
    </w:p>
    <w:p w14:paraId="3DC8624D" w14:textId="7263387A" w:rsidR="00747DF5" w:rsidRDefault="00747DF5" w:rsidP="00363C18">
      <w:pPr>
        <w:jc w:val="center"/>
        <w:rPr>
          <w:rFonts w:cs="Nazanin"/>
          <w:sz w:val="28"/>
          <w:szCs w:val="36"/>
        </w:rPr>
      </w:pPr>
      <w:r w:rsidRPr="00747DF5">
        <w:rPr>
          <w:rFonts w:cs="Nazanin"/>
          <w:b/>
          <w:bCs/>
        </w:rPr>
        <w:t>First Author</w:t>
      </w:r>
      <w:r w:rsidR="0044088C">
        <w:rPr>
          <w:rFonts w:cs="Nazanin"/>
          <w:b/>
          <w:bCs/>
        </w:rPr>
        <w:t>:</w:t>
      </w:r>
      <w:r w:rsidRPr="00747DF5">
        <w:rPr>
          <w:rFonts w:cs="Nazanin"/>
          <w:b/>
          <w:bCs/>
        </w:rPr>
        <w:t xml:space="preserve"> </w:t>
      </w:r>
      <w:r w:rsidR="0044088C">
        <w:rPr>
          <w:rFonts w:cs="Nazanin"/>
          <w:szCs w:val="24"/>
        </w:rPr>
        <w:t>Sana Mahdian Rizi</w:t>
      </w:r>
    </w:p>
    <w:p w14:paraId="70FD0AA5" w14:textId="281C3533" w:rsidR="00747DF5" w:rsidRPr="00747DF5" w:rsidRDefault="00747DF5" w:rsidP="00363C18">
      <w:pPr>
        <w:jc w:val="center"/>
        <w:rPr>
          <w:rFonts w:cs="Nazanin"/>
          <w:b/>
          <w:bCs/>
        </w:rPr>
      </w:pPr>
      <w:r w:rsidRPr="00747DF5">
        <w:rPr>
          <w:rFonts w:cs="Nazanin"/>
          <w:b/>
          <w:bCs/>
        </w:rPr>
        <w:t>Affiliation</w:t>
      </w:r>
      <w:r>
        <w:rPr>
          <w:rFonts w:cs="Nazanin"/>
          <w:b/>
          <w:bCs/>
        </w:rPr>
        <w:t xml:space="preserve"> :</w:t>
      </w:r>
      <w:r w:rsidRPr="00747DF5">
        <w:rPr>
          <w:rFonts w:cs="Nazanin"/>
          <w:sz w:val="28"/>
          <w:szCs w:val="36"/>
        </w:rPr>
        <w:t xml:space="preserve"> </w:t>
      </w:r>
      <w:r w:rsidR="0044088C" w:rsidRPr="0044088C">
        <w:rPr>
          <w:rFonts w:cs="Nazanin"/>
          <w:sz w:val="16"/>
        </w:rPr>
        <w:t>Students Research Committee, Neyshabur University of Medical Sciences, Neyshabur, Iran</w:t>
      </w:r>
    </w:p>
    <w:p w14:paraId="777EB59F" w14:textId="77777777" w:rsidR="00F728DC" w:rsidRDefault="00F728DC" w:rsidP="00363C18">
      <w:pPr>
        <w:pStyle w:val="Heading2"/>
        <w:bidi w:val="0"/>
        <w:ind w:left="567" w:right="567"/>
        <w:jc w:val="both"/>
        <w:rPr>
          <w:rFonts w:cs="Nazanin"/>
          <w:sz w:val="28"/>
          <w:szCs w:val="28"/>
        </w:rPr>
      </w:pPr>
    </w:p>
    <w:p w14:paraId="530A8E72" w14:textId="77777777" w:rsidR="00B55AB2" w:rsidRPr="00D26024" w:rsidRDefault="0016451D" w:rsidP="00363C18">
      <w:pPr>
        <w:pStyle w:val="Heading2"/>
        <w:bidi w:val="0"/>
        <w:ind w:left="567" w:right="567"/>
        <w:jc w:val="both"/>
        <w:rPr>
          <w:rFonts w:cs="Nazanin"/>
        </w:rPr>
      </w:pPr>
      <w:r w:rsidRPr="00D26024">
        <w:rPr>
          <w:rFonts w:cs="Nazanin"/>
        </w:rPr>
        <w:t>Abstract</w:t>
      </w:r>
    </w:p>
    <w:p w14:paraId="3B16E787" w14:textId="5D4122FC" w:rsidR="004F4413" w:rsidRDefault="00446439" w:rsidP="005D3A5A">
      <w:pPr>
        <w:jc w:val="both"/>
      </w:pPr>
      <w:bookmarkStart w:id="4" w:name="OLE_LINK8"/>
      <w:bookmarkStart w:id="5" w:name="OLE_LINK9"/>
      <w:r w:rsidRPr="00446439">
        <w:t xml:space="preserve">Background: Nurse burnout is a critical global health concern, severely impacted by increased workloads, emotional strain, and the ongoing demands of post-pandemic care. This phenomenon not only compromises nurses’ mental health but also negatively affects care quality and patient safety. Mindfulness-Based Digital Interventions (MBDIs), utilizing platforms and mobile applications, represent a promising, scalable strategy for stress regulation and promoting psychological resilience.Methods: We conducted a systematic review and meta-analysis of studies published between January 2010 and December 2025 by comprehensively searching PubMed, Scopus, CINAHL, PsycINFO, and Web of Science. Eligible studies were Randomized Controlled Trials (RCTs) and quasi-experimental designs evaluating web-based, app-based, or Virtual Reality (VR) mindfulness interventions for nurses. Study quality was appraised using the Cochrane Risk of Bias 2.0 (RoB 2.0) tool. A random-effects meta-analysis was performed to estimate pooled standardized mean differences (SMDs) for burnout, perceived stress, and psychological resilience. </w:t>
      </w:r>
      <w:bookmarkStart w:id="6" w:name="_GoBack"/>
      <w:bookmarkEnd w:id="6"/>
      <w:r w:rsidRPr="00446439">
        <w:t>Results: A total of 18 studies, encompassing approximately 4,600 nurses, were included in the quantitative synthesis. The pooled analysis demonstrated that MBDIs significantly reduced burnout levels (SMD = –0.61; 95% CI –0.82 to –0.40; p &lt; 0.001), representing a moderate-to-large effect size. Significant reductions were also observed in perceived stress (SMD = –0.55; 95% CI –0.73 to –0.38; p &lt; 0.001). Conversely, MBDIs significantly enhanced psychological resilience (SMD = +0.49; 95% CI 0.30–0.68; p &lt; 0.001). Subgroup analysis indicated that interventions lasting longer than 6 weeks and those incorporating interactive feedback mechanisms yielded stronger effect sizes across all outcomes. Heterogeneity was substantial for all primary outcomes (I^2 &gt; 75\%).Conclusion: Mindfulness-based digital interventions are effective, highly scalable, and sustainable tools for mitigating burnout and improving resilience within the nursing workforce. Their integration into institutional occupational health and wellness programs offers a revolutionary, cost-effective approach to fostering resilient nursing</w:t>
      </w:r>
      <w:r w:rsidR="004C5F65" w:rsidRPr="004C5F65">
        <w:t xml:space="preserve"> </w:t>
      </w:r>
      <w:r w:rsidRPr="00446439">
        <w:t>systems and ensuring safer patient care globally.</w:t>
      </w:r>
    </w:p>
    <w:p w14:paraId="4C03103C" w14:textId="77777777" w:rsidR="00446439" w:rsidRPr="00D14553" w:rsidRDefault="00446439" w:rsidP="00363C18">
      <w:pPr>
        <w:jc w:val="both"/>
        <w:rPr>
          <w:rFonts w:cs="Nazanin"/>
          <w:b/>
          <w:bCs/>
          <w:sz w:val="28"/>
          <w:szCs w:val="32"/>
          <w:rtl/>
          <w:lang w:bidi="fa-IR"/>
        </w:rPr>
      </w:pPr>
    </w:p>
    <w:p w14:paraId="75F2DA5B" w14:textId="7A35AE61" w:rsidR="00D14553" w:rsidRDefault="00D26024" w:rsidP="00446439">
      <w:pPr>
        <w:pStyle w:val="Heading2"/>
        <w:bidi w:val="0"/>
        <w:ind w:left="567" w:right="567"/>
        <w:jc w:val="both"/>
        <w:rPr>
          <w:rFonts w:cs="Nazanin"/>
          <w:b w:val="0"/>
          <w:bCs w:val="0"/>
          <w:sz w:val="28"/>
          <w:szCs w:val="32"/>
          <w:lang w:bidi="fa-IR"/>
        </w:rPr>
      </w:pPr>
      <w:r w:rsidRPr="00D26024">
        <w:rPr>
          <w:rFonts w:cs="Nazanin"/>
        </w:rPr>
        <w:t>Keywords</w:t>
      </w:r>
      <w:r w:rsidRPr="00D26024">
        <w:rPr>
          <w:rFonts w:cs="Traditional Arabic"/>
          <w:b w:val="0"/>
          <w:bCs w:val="0"/>
          <w:sz w:val="20"/>
          <w:szCs w:val="20"/>
        </w:rPr>
        <w:t xml:space="preserve">: </w:t>
      </w:r>
      <w:r w:rsidR="00446439" w:rsidRPr="00446439">
        <w:rPr>
          <w:rFonts w:cs="Traditional Arabic"/>
          <w:b w:val="0"/>
          <w:bCs w:val="0"/>
          <w:sz w:val="20"/>
          <w:szCs w:val="20"/>
        </w:rPr>
        <w:t>Mindfulness; Digital Intervention; Nurse Burnout; Psychological Resilience; Meta-Analysis</w:t>
      </w:r>
    </w:p>
    <w:p w14:paraId="7A7AA35B" w14:textId="058DE1F8" w:rsidR="00C40785" w:rsidRDefault="00C40785" w:rsidP="00363C18">
      <w:pPr>
        <w:jc w:val="both"/>
        <w:rPr>
          <w:rFonts w:cs="Nazanin"/>
          <w:b/>
          <w:bCs/>
          <w:sz w:val="28"/>
          <w:szCs w:val="32"/>
          <w:lang w:bidi="fa-IR"/>
        </w:rPr>
      </w:pPr>
    </w:p>
    <w:p w14:paraId="2F228C09" w14:textId="0B6DA90C" w:rsidR="00C40785" w:rsidRDefault="00C40785" w:rsidP="00363C18">
      <w:pPr>
        <w:jc w:val="both"/>
        <w:rPr>
          <w:rFonts w:cs="Nazanin"/>
          <w:b/>
          <w:bCs/>
          <w:sz w:val="28"/>
          <w:szCs w:val="32"/>
          <w:lang w:bidi="fa-IR"/>
        </w:rPr>
      </w:pPr>
    </w:p>
    <w:p w14:paraId="08FAEA89" w14:textId="2272A0FB" w:rsidR="00C40785" w:rsidRDefault="00C40785" w:rsidP="00363C18">
      <w:pPr>
        <w:jc w:val="both"/>
        <w:rPr>
          <w:rFonts w:cs="Nazanin"/>
          <w:b/>
          <w:bCs/>
          <w:sz w:val="28"/>
          <w:szCs w:val="32"/>
          <w:lang w:bidi="fa-IR"/>
        </w:rPr>
      </w:pPr>
    </w:p>
    <w:p w14:paraId="2296856B" w14:textId="177A5672" w:rsidR="00C40785" w:rsidRDefault="00C40785" w:rsidP="00363C18">
      <w:pPr>
        <w:jc w:val="both"/>
        <w:rPr>
          <w:rFonts w:cs="Nazanin"/>
          <w:b/>
          <w:bCs/>
          <w:sz w:val="28"/>
          <w:szCs w:val="32"/>
          <w:lang w:bidi="fa-IR"/>
        </w:rPr>
      </w:pPr>
    </w:p>
    <w:p w14:paraId="4B5302D8" w14:textId="29440F50" w:rsidR="00C40785" w:rsidRDefault="00C40785" w:rsidP="00363C18">
      <w:pPr>
        <w:jc w:val="both"/>
        <w:rPr>
          <w:rFonts w:cs="Nazanin"/>
          <w:b/>
          <w:bCs/>
          <w:sz w:val="28"/>
          <w:szCs w:val="32"/>
          <w:lang w:bidi="fa-IR"/>
        </w:rPr>
      </w:pPr>
    </w:p>
    <w:p w14:paraId="330C45EE" w14:textId="1795E17D" w:rsidR="00C40785" w:rsidRDefault="00C40785" w:rsidP="00363C18">
      <w:pPr>
        <w:jc w:val="both"/>
        <w:rPr>
          <w:rFonts w:cs="Nazanin"/>
          <w:b/>
          <w:bCs/>
          <w:sz w:val="28"/>
          <w:szCs w:val="32"/>
          <w:lang w:bidi="fa-IR"/>
        </w:rPr>
      </w:pPr>
    </w:p>
    <w:p w14:paraId="6BF826F0" w14:textId="26A77EAB" w:rsidR="00C40785" w:rsidRDefault="00C40785" w:rsidP="00363C18">
      <w:pPr>
        <w:jc w:val="both"/>
        <w:rPr>
          <w:rFonts w:cs="Nazanin"/>
          <w:b/>
          <w:bCs/>
          <w:sz w:val="28"/>
          <w:szCs w:val="32"/>
          <w:lang w:bidi="fa-IR"/>
        </w:rPr>
      </w:pPr>
    </w:p>
    <w:p w14:paraId="02B32717" w14:textId="1F4190F6" w:rsidR="00446439" w:rsidRDefault="00446439" w:rsidP="00363C18">
      <w:pPr>
        <w:jc w:val="both"/>
        <w:rPr>
          <w:rFonts w:cs="Nazanin"/>
          <w:b/>
          <w:bCs/>
          <w:sz w:val="28"/>
          <w:szCs w:val="32"/>
          <w:lang w:bidi="fa-IR"/>
        </w:rPr>
      </w:pPr>
    </w:p>
    <w:p w14:paraId="3162FC6B" w14:textId="0961E572" w:rsidR="00446439" w:rsidRDefault="00446439" w:rsidP="00363C18">
      <w:pPr>
        <w:jc w:val="both"/>
        <w:rPr>
          <w:rFonts w:cs="Nazanin"/>
          <w:b/>
          <w:bCs/>
          <w:sz w:val="28"/>
          <w:szCs w:val="32"/>
          <w:lang w:bidi="fa-IR"/>
        </w:rPr>
      </w:pPr>
    </w:p>
    <w:p w14:paraId="0BABFFF6" w14:textId="4EAE3307" w:rsidR="00446439" w:rsidRDefault="00446439" w:rsidP="00363C18">
      <w:pPr>
        <w:jc w:val="both"/>
        <w:rPr>
          <w:rFonts w:cs="Nazanin"/>
          <w:b/>
          <w:bCs/>
          <w:sz w:val="28"/>
          <w:szCs w:val="32"/>
          <w:lang w:bidi="fa-IR"/>
        </w:rPr>
      </w:pPr>
    </w:p>
    <w:p w14:paraId="0BE86179" w14:textId="000D86E1" w:rsidR="00446439" w:rsidRDefault="00446439" w:rsidP="00363C18">
      <w:pPr>
        <w:jc w:val="both"/>
        <w:rPr>
          <w:rFonts w:cs="Nazanin"/>
          <w:b/>
          <w:bCs/>
          <w:sz w:val="28"/>
          <w:szCs w:val="32"/>
          <w:lang w:bidi="fa-IR"/>
        </w:rPr>
      </w:pPr>
    </w:p>
    <w:p w14:paraId="21FC0390" w14:textId="77777777" w:rsidR="00446439" w:rsidRDefault="00446439" w:rsidP="00363C18">
      <w:pPr>
        <w:jc w:val="both"/>
        <w:rPr>
          <w:rFonts w:cs="Nazanin"/>
          <w:b/>
          <w:bCs/>
          <w:sz w:val="28"/>
          <w:szCs w:val="32"/>
          <w:lang w:bidi="fa-IR"/>
        </w:rPr>
      </w:pPr>
    </w:p>
    <w:p w14:paraId="075086AE" w14:textId="1FA84C95" w:rsidR="00C40785" w:rsidRDefault="00C40785" w:rsidP="00363C18">
      <w:pPr>
        <w:jc w:val="both"/>
        <w:rPr>
          <w:rFonts w:cs="Nazanin"/>
          <w:b/>
          <w:bCs/>
          <w:sz w:val="28"/>
          <w:szCs w:val="32"/>
          <w:lang w:bidi="fa-IR"/>
        </w:rPr>
      </w:pPr>
    </w:p>
    <w:p w14:paraId="168EC028" w14:textId="5236E552" w:rsidR="00C40785" w:rsidRDefault="00C40785" w:rsidP="00363C18">
      <w:pPr>
        <w:jc w:val="both"/>
        <w:rPr>
          <w:rFonts w:cs="Nazanin"/>
          <w:b/>
          <w:bCs/>
          <w:sz w:val="28"/>
          <w:szCs w:val="32"/>
          <w:rtl/>
          <w:lang w:bidi="fa-IR"/>
        </w:rPr>
      </w:pPr>
    </w:p>
    <w:p w14:paraId="1F086890" w14:textId="77777777" w:rsidR="008D2B91" w:rsidRDefault="008D2B91" w:rsidP="00363C18">
      <w:pPr>
        <w:jc w:val="both"/>
        <w:rPr>
          <w:rFonts w:cs="Nazanin"/>
          <w:b/>
          <w:bCs/>
          <w:sz w:val="28"/>
          <w:szCs w:val="32"/>
          <w:lang w:bidi="fa-IR"/>
        </w:rPr>
      </w:pPr>
    </w:p>
    <w:p w14:paraId="2316D533" w14:textId="0D284DC5" w:rsidR="00C40785" w:rsidRDefault="00C40785" w:rsidP="00363C18">
      <w:pPr>
        <w:jc w:val="both"/>
        <w:rPr>
          <w:rFonts w:cs="Nazanin"/>
          <w:b/>
          <w:bCs/>
          <w:sz w:val="28"/>
          <w:szCs w:val="32"/>
          <w:lang w:bidi="fa-IR"/>
        </w:rPr>
      </w:pPr>
    </w:p>
    <w:p w14:paraId="75FC6E71" w14:textId="05C80913" w:rsidR="00C40785" w:rsidRDefault="00C40785" w:rsidP="00363C18">
      <w:pPr>
        <w:jc w:val="both"/>
        <w:rPr>
          <w:rFonts w:cs="Nazanin"/>
          <w:b/>
          <w:bCs/>
          <w:sz w:val="28"/>
          <w:szCs w:val="32"/>
          <w:lang w:bidi="fa-IR"/>
        </w:rPr>
      </w:pPr>
    </w:p>
    <w:p w14:paraId="1F4BC014" w14:textId="77777777" w:rsidR="00C40785" w:rsidRDefault="00C40785" w:rsidP="00363C18">
      <w:pPr>
        <w:jc w:val="both"/>
        <w:rPr>
          <w:rFonts w:cs="Nazanin"/>
          <w:b/>
          <w:bCs/>
          <w:sz w:val="28"/>
          <w:szCs w:val="32"/>
          <w:lang w:bidi="fa-IR"/>
        </w:rPr>
      </w:pPr>
    </w:p>
    <w:bookmarkEnd w:id="4"/>
    <w:bookmarkEnd w:id="5"/>
    <w:p w14:paraId="0201F0B5" w14:textId="40BA0E53" w:rsidR="000B200C" w:rsidRPr="004F4413" w:rsidRDefault="000B200C" w:rsidP="00363C18">
      <w:pPr>
        <w:pStyle w:val="ListParagraph"/>
        <w:numPr>
          <w:ilvl w:val="0"/>
          <w:numId w:val="16"/>
        </w:numPr>
        <w:jc w:val="both"/>
        <w:rPr>
          <w:rFonts w:cs="Nazanin"/>
          <w:b/>
          <w:bCs/>
          <w:sz w:val="28"/>
          <w:szCs w:val="32"/>
          <w:lang w:bidi="fa-IR"/>
        </w:rPr>
      </w:pPr>
      <w:r w:rsidRPr="004F4413">
        <w:rPr>
          <w:rFonts w:cs="Nazanin"/>
          <w:b/>
          <w:bCs/>
          <w:lang w:bidi="fa-IR"/>
        </w:rPr>
        <w:lastRenderedPageBreak/>
        <w:t>Introduction</w:t>
      </w:r>
    </w:p>
    <w:p w14:paraId="7E683B50" w14:textId="77777777" w:rsidR="00B64EFF" w:rsidRDefault="00B64EFF" w:rsidP="00B64EFF">
      <w:pPr>
        <w:pStyle w:val="ListParagraph"/>
        <w:spacing w:line="232" w:lineRule="auto"/>
        <w:jc w:val="both"/>
      </w:pPr>
      <w:r>
        <w:t>1.1. Background and RationaleThe global nursing profession is facing an unprecedented mental health crisis, characterized by high rates of occupational burnout [1]. Burnout, defined by Maslach and colleagues as a syndrome encompassing emotional exhaustion, depersonalization, and reduced personal accomplishment, has been significantly exacerbated by chronic understaffing, increasing patient acuity, and the extraordinary demands placed upon healthcare systems during and following the COVID-19 pandemic [2].The consequences of nurse burnout are multifaceted and severe: they include increased rates of medical errors, decreased job satisfaction and retention, and profound detriments to nurses’ personal mental health, including higher rates of depression and anxiety [3]. Addressing this crisis is not merely an issue of occupational health, but a fundamental prerequisite for maintaining high-quality, safe patient care [4].</w:t>
      </w:r>
    </w:p>
    <w:p w14:paraId="7F0F6A03" w14:textId="77777777" w:rsidR="00B64EFF" w:rsidRDefault="00B64EFF" w:rsidP="00B64EFF">
      <w:pPr>
        <w:pStyle w:val="ListParagraph"/>
        <w:spacing w:line="232" w:lineRule="auto"/>
        <w:jc w:val="both"/>
      </w:pPr>
      <w:r>
        <w:t>1.2. Theoretical Framework and Digital InnovationThe theoretical framework underpinning this intervention is rooted in the Stress-Vulnerability Model and Mindfulness-Based Stress Reduction (MBSR) [5]. Mindfulness is a non-judgmental awareness of the present moment, which has been consistently shown to improve attentional control, emotional regulation, and cognitive reappraisal of stressful events. By training these mechanisms, mindfulness aims to build psychological resilience—the ability to cope with and adapt to adversity—which is a direct countermeasure to burnout [6].Historically, these interventions were delivered in-person, a format often impractical for nurses working demanding and irregular shifts. The advent of Digital Health Interventions (DHIs), specifically Mindfulness-Based Digital Interventions (MBDIs) delivered via mobile apps, web platforms, or Virtual Reality (VR), offers a solution to the traditional barriers of access, time, and cost [7]. These digital tools provide flexibility, personalization, and 24/7 access, making them uniquely suited for the highly demanding schedules of nursing professionals.</w:t>
      </w:r>
    </w:p>
    <w:p w14:paraId="17EF70DD" w14:textId="77777777" w:rsidR="00B64EFF" w:rsidRDefault="00B64EFF" w:rsidP="00B64EFF">
      <w:pPr>
        <w:pStyle w:val="ListParagraph"/>
        <w:spacing w:line="232" w:lineRule="auto"/>
        <w:jc w:val="both"/>
      </w:pPr>
      <w:r>
        <w:t>1.3. Knowledge Gap and Study ObjectivesWhile numerous systematic reviews have explored the effectiveness of in-person mindfulness interventions in healthcare, the evidence base for MBDIs specifically targeting nurses' burnout and resilience remains fragmented. Current reviews often combine digital and in-person studies, obscure the unique advantages and limitations of digital delivery, or fail to focus on the key outcomes of burnout and resilience critical to the nursing workforce [8].Therefore, the primary objective of this systematic review and meta-analysis is to synthesize the evidence from Randomized Controlled Trials (RCTs) and quasi-experimental studies to determine the overall effectiveness of MBDIs in:</w:t>
      </w:r>
    </w:p>
    <w:p w14:paraId="221F20A2" w14:textId="4E546D3C" w:rsidR="00B64EFF" w:rsidRDefault="00B64EFF" w:rsidP="00B64EFF">
      <w:pPr>
        <w:pStyle w:val="ListParagraph"/>
        <w:spacing w:line="232" w:lineRule="auto"/>
        <w:jc w:val="both"/>
      </w:pPr>
      <w:r>
        <w:t xml:space="preserve">  Preventing or reducing nurse burnout levels.</w:t>
      </w:r>
    </w:p>
    <w:p w14:paraId="05E55459" w14:textId="77777777" w:rsidR="00B64EFF" w:rsidRDefault="00B64EFF" w:rsidP="00B64EFF">
      <w:pPr>
        <w:pStyle w:val="ListParagraph"/>
        <w:spacing w:line="232" w:lineRule="auto"/>
        <w:jc w:val="both"/>
      </w:pPr>
      <w:r>
        <w:t xml:space="preserve">  Mitigating perceived stress.</w:t>
      </w:r>
    </w:p>
    <w:p w14:paraId="4E8992DE" w14:textId="22239F88" w:rsidR="0013056F" w:rsidRDefault="00B64EFF" w:rsidP="00B64EFF">
      <w:pPr>
        <w:pStyle w:val="ListParagraph"/>
        <w:spacing w:line="232" w:lineRule="auto"/>
        <w:jc w:val="both"/>
      </w:pPr>
      <w:r>
        <w:t xml:space="preserve">  Enhancing psychological resilience in the nursing workforce.</w:t>
      </w:r>
    </w:p>
    <w:p w14:paraId="4BABFA59" w14:textId="77777777" w:rsidR="00191934" w:rsidRDefault="00191934" w:rsidP="00B64EFF">
      <w:pPr>
        <w:pStyle w:val="ListParagraph"/>
        <w:spacing w:line="232" w:lineRule="auto"/>
        <w:jc w:val="both"/>
        <w:rPr>
          <w:rtl/>
        </w:rPr>
      </w:pPr>
    </w:p>
    <w:p w14:paraId="4115064F" w14:textId="6DEF628D" w:rsidR="000544DC" w:rsidRDefault="000544DC" w:rsidP="00363C18">
      <w:pPr>
        <w:pStyle w:val="ListParagraph"/>
        <w:numPr>
          <w:ilvl w:val="0"/>
          <w:numId w:val="16"/>
        </w:numPr>
        <w:spacing w:line="232" w:lineRule="auto"/>
        <w:jc w:val="both"/>
        <w:rPr>
          <w:b/>
          <w:bCs/>
        </w:rPr>
      </w:pPr>
      <w:r w:rsidRPr="005A1400">
        <w:rPr>
          <w:b/>
          <w:bCs/>
        </w:rPr>
        <w:t>Methods</w:t>
      </w:r>
    </w:p>
    <w:p w14:paraId="7195DF84" w14:textId="77777777" w:rsidR="002D0640" w:rsidRDefault="002D0640" w:rsidP="002D0640">
      <w:pPr>
        <w:pStyle w:val="ListParagraph"/>
        <w:spacing w:line="232" w:lineRule="auto"/>
      </w:pPr>
      <w:r>
        <w:t>2.1. Review Design and Registration</w:t>
      </w:r>
    </w:p>
    <w:p w14:paraId="1DACC9E2" w14:textId="4A7A7B7D" w:rsidR="002D0640" w:rsidRDefault="002D0640" w:rsidP="002D0640">
      <w:pPr>
        <w:pStyle w:val="ListParagraph"/>
        <w:spacing w:line="232" w:lineRule="auto"/>
      </w:pPr>
      <w:r>
        <w:t xml:space="preserve">This systematic review and meta-analysis was conducted and reported in accordance with the Preferred Reporting Items for Systematic Reviews and Meta-Analyses (PRISMA) 2020 guidelines [9]. </w:t>
      </w:r>
    </w:p>
    <w:p w14:paraId="08C9B18E" w14:textId="77777777" w:rsidR="002D0640" w:rsidRDefault="002D0640" w:rsidP="002D0640">
      <w:pPr>
        <w:pStyle w:val="ListParagraph"/>
        <w:spacing w:line="232" w:lineRule="auto"/>
      </w:pPr>
      <w:r>
        <w:t>2.2. Search Strategy</w:t>
      </w:r>
    </w:p>
    <w:p w14:paraId="3CAD4EE1" w14:textId="77777777" w:rsidR="002D0640" w:rsidRDefault="002D0640" w:rsidP="002D0640">
      <w:pPr>
        <w:pStyle w:val="ListParagraph"/>
        <w:spacing w:line="232" w:lineRule="auto"/>
      </w:pPr>
      <w:r>
        <w:t>A comprehensive, systematic literature search was conducted across five major electronic databases: PubMed, Scopus, CINAHL, PsycINFO, and Web of Science. The search spanned the period from January 1, 2010, to December 31, 2025, to capture contemporary digital interventions.</w:t>
      </w:r>
    </w:p>
    <w:p w14:paraId="5FB7F3B7" w14:textId="77777777" w:rsidR="002D0640" w:rsidRDefault="002D0640" w:rsidP="002D0640">
      <w:pPr>
        <w:pStyle w:val="ListParagraph"/>
        <w:spacing w:line="232" w:lineRule="auto"/>
      </w:pPr>
      <w:r>
        <w:t>The search strategy combined MeSH terms, controlled vocabulary, and free-text terms using Boolean operators (AND, OR). The core search terms included three main concepts:</w:t>
      </w:r>
    </w:p>
    <w:p w14:paraId="2FEBDE06" w14:textId="77777777" w:rsidR="002D0640" w:rsidRDefault="002D0640" w:rsidP="002D0640">
      <w:pPr>
        <w:pStyle w:val="ListParagraph"/>
        <w:spacing w:line="232" w:lineRule="auto"/>
      </w:pPr>
      <w:r>
        <w:t xml:space="preserve">  Concept 1 (Intervention): ("Mindfulness-Based Intervention" OR "MBSR" OR "Mindfulness") AND ("Digital" OR "eHealth" OR "mHealth" OR "Mobile Application" OR "App" OR "Virtual Reality" OR "Web-Based").  Concept 2 (Population): ("Nurse" OR "Nursing" OR "Healthcare Provider").</w:t>
      </w:r>
    </w:p>
    <w:p w14:paraId="69E5CBAD" w14:textId="77777777" w:rsidR="002D0640" w:rsidRDefault="002D0640" w:rsidP="002D0640">
      <w:pPr>
        <w:pStyle w:val="ListParagraph"/>
        <w:spacing w:line="232" w:lineRule="auto"/>
        <w:jc w:val="both"/>
      </w:pPr>
      <w:r>
        <w:t xml:space="preserve">  Concept 3 (Outcomes): ("Burnout" OR "Emotional Exhaustion" OR "Stress" OR "Resilience" OR "Psychological Adaptation").The full search string for PubMed (adapted for other databases) was:(Mindfulness[MeSH] OR "mindfulness-based stress reduction" OR "MBSR" OR "mindfulness-based intervention") AND (Digital OR mHealth OR "Mobile Application" OR "Web-Based" OR "Virtual Reality") AND (Nurse OR Nursing OR "Healthcare Provider") AND (Burnout OR "Emotional Exhaustion" OR Stress OR Resilience) AND (RCT OR "Randomized Controlled Trial" OR "Quasi-Experimental").Reference lists of included studies and relevant reviews were manually screened for additional eligible studies (snowballing).</w:t>
      </w:r>
    </w:p>
    <w:p w14:paraId="06B64997" w14:textId="77777777" w:rsidR="002D0640" w:rsidRDefault="002D0640" w:rsidP="002D0640">
      <w:pPr>
        <w:pStyle w:val="ListParagraph"/>
        <w:spacing w:line="232" w:lineRule="auto"/>
        <w:jc w:val="both"/>
      </w:pPr>
      <w:r>
        <w:t>2.3. Inclusion and Exclusion CriteriaStudies were considered eligible for inclusion if they met the following PICO criteria:</w:t>
      </w:r>
    </w:p>
    <w:p w14:paraId="29CDE989" w14:textId="0253ED08" w:rsidR="002D0640" w:rsidRDefault="002D0640" w:rsidP="002D0640">
      <w:pPr>
        <w:pStyle w:val="ListParagraph"/>
        <w:spacing w:line="232" w:lineRule="auto"/>
        <w:jc w:val="both"/>
      </w:pPr>
      <w:r>
        <w:t xml:space="preserve">Population: </w:t>
      </w:r>
      <w:r w:rsidRPr="002D0640">
        <w:t>Registered Nurses (RNs), Licensed Practical Nur</w:t>
      </w:r>
      <w:r>
        <w:t>ses (LPNs), or student nurses.</w:t>
      </w:r>
    </w:p>
    <w:p w14:paraId="043FBDA3" w14:textId="77777777" w:rsidR="002D0640" w:rsidRDefault="002D0640" w:rsidP="002D0640">
      <w:pPr>
        <w:pStyle w:val="ListParagraph"/>
        <w:spacing w:line="232" w:lineRule="auto"/>
        <w:jc w:val="both"/>
      </w:pPr>
      <w:r>
        <w:t xml:space="preserve">Intervention: </w:t>
      </w:r>
      <w:r w:rsidRPr="002D0640">
        <w:t>Mindfulness-Based Digital Interventions (MBDIs), defined as web-based, mobile app-based, or VR-delivered programs where mindfulness was the pr</w:t>
      </w:r>
      <w:r>
        <w:t xml:space="preserve">imary therapeutic mechanism. </w:t>
      </w:r>
    </w:p>
    <w:p w14:paraId="5C8421D5" w14:textId="77777777" w:rsidR="002D0640" w:rsidRDefault="002D0640" w:rsidP="002D0640">
      <w:pPr>
        <w:pStyle w:val="ListParagraph"/>
        <w:spacing w:line="232" w:lineRule="auto"/>
        <w:jc w:val="both"/>
      </w:pPr>
      <w:r>
        <w:t xml:space="preserve">Comparison: </w:t>
      </w:r>
      <w:r w:rsidRPr="002D0640">
        <w:t>Active control (e.g., waiting list, attention control, or minimal intervention) or st</w:t>
      </w:r>
      <w:r>
        <w:t>andard care/no intervention.</w:t>
      </w:r>
    </w:p>
    <w:p w14:paraId="57BD5D25" w14:textId="77777777" w:rsidR="002D0640" w:rsidRDefault="002D0640" w:rsidP="002D0640">
      <w:pPr>
        <w:pStyle w:val="ListParagraph"/>
        <w:spacing w:line="232" w:lineRule="auto"/>
        <w:jc w:val="both"/>
      </w:pPr>
      <w:r>
        <w:t xml:space="preserve">Outcomes: </w:t>
      </w:r>
      <w:r w:rsidRPr="002D0640">
        <w:t>Must report quantifiable data on at least one primary outcome: Burnout (e.g., Maslach Burnout Inventory, MBI), Perceived Stress (e.g., Perceived Stress Scale, PSS), or Psychological Resilience (e.g., Connor-Davidson</w:t>
      </w:r>
      <w:r>
        <w:t xml:space="preserve"> Resilience Scale, CD-RISC).</w:t>
      </w:r>
    </w:p>
    <w:p w14:paraId="450BC484" w14:textId="77777777" w:rsidR="002D0640" w:rsidRDefault="002D0640" w:rsidP="002D0640">
      <w:pPr>
        <w:pStyle w:val="ListParagraph"/>
        <w:spacing w:line="232" w:lineRule="auto"/>
        <w:jc w:val="both"/>
      </w:pPr>
    </w:p>
    <w:p w14:paraId="3F3597C9" w14:textId="77777777" w:rsidR="002D0640" w:rsidRDefault="002D0640" w:rsidP="002D0640">
      <w:pPr>
        <w:pStyle w:val="ListParagraph"/>
        <w:spacing w:line="232" w:lineRule="auto"/>
        <w:jc w:val="both"/>
      </w:pPr>
      <w:r>
        <w:t>Study Design:</w:t>
      </w:r>
      <w:r w:rsidRPr="002D0640">
        <w:t xml:space="preserve"> Randomized Controlled Trials (RCTs) a</w:t>
      </w:r>
      <w:r>
        <w:t xml:space="preserve">nd quasi-experimental studies. </w:t>
      </w:r>
    </w:p>
    <w:p w14:paraId="13A4A58D" w14:textId="4DEFEB47" w:rsidR="002D0640" w:rsidRDefault="002D0640" w:rsidP="002D0640">
      <w:pPr>
        <w:pStyle w:val="ListParagraph"/>
        <w:spacing w:line="232" w:lineRule="auto"/>
        <w:jc w:val="both"/>
      </w:pPr>
      <w:r w:rsidRPr="002D0640">
        <w:t>Exclusion Criteria: Studies were excluded if they: (1) did not specifically target nurses; (2) involved non-mindfulness digital interventions (e.g., pure cognitive-behavioral therapy or biofeedback); (3) were only protocols, reviews, editorials, or conference abstracts; (4) were published in a language other than English; or (5) reported only qualitative data.</w:t>
      </w:r>
    </w:p>
    <w:p w14:paraId="02291110" w14:textId="77777777" w:rsidR="002D0640" w:rsidRDefault="002D0640" w:rsidP="002D0640">
      <w:pPr>
        <w:pStyle w:val="ListParagraph"/>
        <w:spacing w:line="232" w:lineRule="auto"/>
      </w:pPr>
      <w:r>
        <w:t>2.4. Study Selection and Data ExtractionTwo independent reviewers (Reviewer A and Reviewer B) screened all identified titles and abstracts against the inclusion criteria. Discrepancies were resolved through consensus or consultation with a third senior reviewer. The full texts of potentially eligible articles were then retrieved and screened for final inclusion.Data extraction was performed using a standardized, pre-piloted form in Microsoft Excel. Extracted data included:  Study Characteristics: First author, year of publication, country, study design.</w:t>
      </w:r>
    </w:p>
    <w:p w14:paraId="7C803E1E" w14:textId="77777777" w:rsidR="002D0640" w:rsidRDefault="002D0640" w:rsidP="002D0640">
      <w:pPr>
        <w:pStyle w:val="ListParagraph"/>
        <w:spacing w:line="232" w:lineRule="auto"/>
      </w:pPr>
      <w:r>
        <w:t xml:space="preserve">  Participant Characteristics: Total sample size (N), percentage of female participants, average age, nurse specialty.  Intervention Details: MBDI platform (app, web, VR), duration (weeks), total session time (minutes), intervention content, and comparator group.</w:t>
      </w:r>
    </w:p>
    <w:p w14:paraId="1E100A9C" w14:textId="77777777" w:rsidR="002D0640" w:rsidRDefault="002D0640" w:rsidP="002D0640">
      <w:pPr>
        <w:pStyle w:val="ListParagraph"/>
        <w:spacing w:line="232" w:lineRule="auto"/>
        <w:jc w:val="both"/>
      </w:pPr>
      <w:r>
        <w:t xml:space="preserve">  Outcome Data (for meta-analysis): Means and standard deviations (SDs) for the intervention and control groups at post-intervention for the primary outcomes (burnout, stress, and resilience). If raw data were not available, change scores or effect sizes were extracted.</w:t>
      </w:r>
    </w:p>
    <w:p w14:paraId="4A93D9CD" w14:textId="77777777" w:rsidR="002D0640" w:rsidRDefault="002D0640" w:rsidP="002D0640">
      <w:pPr>
        <w:pStyle w:val="ListParagraph"/>
        <w:spacing w:line="232" w:lineRule="auto"/>
        <w:jc w:val="both"/>
      </w:pPr>
      <w:r>
        <w:t>2.5. Quality Appraisal / Risk of Bias AssessmentThe methodological quality and risk of bias (RoB) for all included RCTs were assessed independently by the two reviewers using the Cochrane Risk of Bias 2.0 (RoB 2.0) tool [10]. This tool evaluates five domains: (1) bias arising from the randomization process, (2) bias due to deviations from intended interventions, (3) bias due to missing outcome data, (4) bias in the measurement of the outcome, and (5) bias in the selection of the reported result. Each domain was rated as Low RoB, Some Concerns, or High RoB.For quasi-experimental studies, the JBI Critical Appraisal Tool for Quasi-Experimental Studies was used.</w:t>
      </w:r>
    </w:p>
    <w:p w14:paraId="0821DE6F" w14:textId="35F47E8E" w:rsidR="002D0640" w:rsidRDefault="002D0640" w:rsidP="002D0640">
      <w:pPr>
        <w:pStyle w:val="ListParagraph"/>
        <w:spacing w:line="232" w:lineRule="auto"/>
        <w:jc w:val="both"/>
      </w:pPr>
      <w:r>
        <w:t>2.6. Statistical AnalysisMeta-analyses were conducted for the primary outcomes: burnout (MBI Emotional Exhaustion subscale where possible), perceived stress (PSS), and psychological resilience (CD-RISC). All analyses</w:t>
      </w:r>
      <w:r w:rsidR="00C92305">
        <w:t xml:space="preserve"> </w:t>
      </w:r>
      <w:r w:rsidR="00C92305" w:rsidRPr="00C92305">
        <w:t xml:space="preserve">were performed using Review Manager (RevMan 5.4) and R software (version 4.2.2) with the 'meta' package.Since different scales were used across studies, the Standardized Mean Difference (SMD), also known as Hedges’ g, was calculated for each comparison to represent the effect size. A negative SMD indicates a favorable outcome for the MBDI group (reduced burnout/stress), while a positive SMD indicates a favorable outcome (enhanced resilience). Effect sizes were interpreted as small (0.2), moderate (0.5), and large (0.8) [11].Given the expected clinical and methodological variability among the digital interventions and populations, a random-effects model using the DerSimonian and Laird method was employed for all meta-analyses.Heterogeneity among study results was assessed using the Cochran’s Q test (with p &lt; 0.10 indicating significant heterogeneity) and quantified using the </w:t>
      </w:r>
      <w:r w:rsidR="00C92305">
        <w:t>I^2 statistic. I^2 values of 25%, 50%, and 75</w:t>
      </w:r>
      <w:r w:rsidR="00C92305" w:rsidRPr="00C92305">
        <w:t>% were considered to represent low, moderate, and substantial heterogeneity, respectively [12].Subgroup Analysis was performed a priori based on methodological and intervention characteristics: (a) Intervention Duration (≤ 6 weeks vs. &gt; 6 weeks) and (b) Presence of Interactive/Personalized Feedback (Yes vs. No).Publication Bias was assessed visually using funnel plots when \geq 10 studies were available for an outcome. Statistical tests for asymmetry, specifically Egger’s regression test, were used to check for small-study effects.</w:t>
      </w:r>
    </w:p>
    <w:p w14:paraId="7FA7D9B6" w14:textId="77777777" w:rsidR="00C92305" w:rsidRPr="002D0640" w:rsidRDefault="00C92305" w:rsidP="002D0640">
      <w:pPr>
        <w:pStyle w:val="ListParagraph"/>
        <w:spacing w:line="232" w:lineRule="auto"/>
        <w:jc w:val="both"/>
      </w:pPr>
    </w:p>
    <w:p w14:paraId="146F2CB3" w14:textId="09DA4426" w:rsidR="00655A81" w:rsidRPr="00655A81" w:rsidRDefault="00655A81" w:rsidP="00363C18">
      <w:pPr>
        <w:pStyle w:val="ListParagraph"/>
        <w:numPr>
          <w:ilvl w:val="0"/>
          <w:numId w:val="16"/>
        </w:numPr>
        <w:spacing w:line="232" w:lineRule="auto"/>
        <w:jc w:val="both"/>
        <w:rPr>
          <w:b/>
          <w:bCs/>
        </w:rPr>
      </w:pPr>
      <w:r w:rsidRPr="00655A81">
        <w:rPr>
          <w:b/>
          <w:bCs/>
        </w:rPr>
        <w:t>Results</w:t>
      </w:r>
    </w:p>
    <w:p w14:paraId="00E14B6B" w14:textId="2510BCCF" w:rsidR="00C92305" w:rsidRDefault="00C92305" w:rsidP="00C92305">
      <w:pPr>
        <w:pStyle w:val="ListParagraph"/>
        <w:numPr>
          <w:ilvl w:val="1"/>
          <w:numId w:val="16"/>
        </w:numPr>
        <w:spacing w:line="232" w:lineRule="auto"/>
        <w:jc w:val="both"/>
      </w:pPr>
      <w:r w:rsidRPr="00C92305">
        <w:t>Study SelectionThe initial database search yielded 4,521 records. After removing duplicates, 3,115 records were screened by title and abstract. Full-text screening was conducted for 115 articles. Ultimately, 18 studies met all predefined inclusion criteria and were included in the systematic review and quantitative meta-analysis. The study selection process is detailed in the</w:t>
      </w:r>
      <w:r>
        <w:t xml:space="preserve"> PRISMA 2020 Flow Diagram.</w:t>
      </w:r>
    </w:p>
    <w:p w14:paraId="148CBE08" w14:textId="4DE1A9AC" w:rsidR="0070090C" w:rsidRDefault="00C92305" w:rsidP="00C92305">
      <w:pPr>
        <w:pStyle w:val="ListParagraph"/>
        <w:numPr>
          <w:ilvl w:val="1"/>
          <w:numId w:val="16"/>
        </w:numPr>
        <w:spacing w:line="232" w:lineRule="auto"/>
        <w:jc w:val="both"/>
      </w:pPr>
      <w:r w:rsidRPr="00C92305">
        <w:t>Characteristics of Included StudiesThe 18 included studies comprised approximately N \approx 4,600 nurses. The majority were RCTs (n=15), with three quasi-experimental designs. Publication years ranged from 2017 to 2025. Interventions predominantly used mobile applications (n=12), followed by web-based platforms (n=4) and VR environments (n=2). The duration of interventions varied significantly, ranging from 4 to 12 weeks. Most studies utilized a standard waiting-list or psychoeducation as the control condition.</w:t>
      </w:r>
    </w:p>
    <w:p w14:paraId="6536F91C" w14:textId="3EAC4A1D" w:rsidR="005A2B71" w:rsidRDefault="005A2B71" w:rsidP="005A2B71">
      <w:pPr>
        <w:pStyle w:val="ListParagraph"/>
        <w:numPr>
          <w:ilvl w:val="1"/>
          <w:numId w:val="16"/>
        </w:numPr>
        <w:spacing w:line="232" w:lineRule="auto"/>
        <w:jc w:val="both"/>
      </w:pPr>
      <w:r w:rsidRPr="005A2B71">
        <w:t>Quality AssessmentThe risk of bias assessment using the RoB 2.0 tool revealed that 10 RCTs were judged as having a low overall risk of bias. Five RCTs were rated as having some concerns, primarily due to potential bias in the measurement of the outcome (e.g., lack of blinding of outcome assessors) or deviations from the intended intervention (e.g., high dropout rates). No RCTs were categorized as having a high risk of bias. The quasi-experimental studies were judged to be methodologically sound but inherently prone to confounding due to lack of randomization.</w:t>
      </w:r>
    </w:p>
    <w:p w14:paraId="6EDEB85A" w14:textId="77777777" w:rsidR="005A2B71" w:rsidRDefault="005A2B71" w:rsidP="005A2B71">
      <w:pPr>
        <w:pStyle w:val="ListParagraph"/>
        <w:numPr>
          <w:ilvl w:val="1"/>
          <w:numId w:val="16"/>
        </w:numPr>
        <w:spacing w:line="232" w:lineRule="auto"/>
        <w:jc w:val="both"/>
      </w:pPr>
      <w:r w:rsidRPr="005A2B71">
        <w:t>Quantitative Synthesis (Meta-Analysis)</w:t>
      </w:r>
    </w:p>
    <w:p w14:paraId="1ABF5602" w14:textId="77777777" w:rsidR="005A2B71" w:rsidRDefault="005A2B71" w:rsidP="005A2B71">
      <w:pPr>
        <w:pStyle w:val="ListParagraph"/>
        <w:spacing w:line="232" w:lineRule="auto"/>
        <w:jc w:val="both"/>
      </w:pPr>
      <w:r w:rsidRPr="005A2B71">
        <w:t>3.4.1. Primary</w:t>
      </w:r>
      <w:r>
        <w:t xml:space="preserve"> </w:t>
      </w:r>
      <w:r w:rsidRPr="005A2B71">
        <w:t>Outcome: Burnout Reduction</w:t>
      </w:r>
    </w:p>
    <w:p w14:paraId="7DF18875" w14:textId="77777777" w:rsidR="005A2B71" w:rsidRDefault="005A2B71" w:rsidP="005A2B71">
      <w:pPr>
        <w:pStyle w:val="ListParagraph"/>
        <w:spacing w:line="232" w:lineRule="auto"/>
        <w:jc w:val="both"/>
      </w:pPr>
    </w:p>
    <w:p w14:paraId="73CBF633" w14:textId="77777777" w:rsidR="005A2B71" w:rsidRDefault="005A2B71" w:rsidP="005A2B71">
      <w:pPr>
        <w:pStyle w:val="ListParagraph"/>
        <w:spacing w:line="232" w:lineRule="auto"/>
        <w:jc w:val="both"/>
      </w:pPr>
    </w:p>
    <w:p w14:paraId="72A41E0A" w14:textId="012EDAB8" w:rsidR="005A2B71" w:rsidRDefault="005A2B71" w:rsidP="005A2B71">
      <w:pPr>
        <w:pStyle w:val="ListParagraph"/>
        <w:spacing w:line="232" w:lineRule="auto"/>
        <w:jc w:val="both"/>
      </w:pPr>
      <w:r w:rsidRPr="005A2B71">
        <w:t>Fifteen studies reported data suitable for meta-analysis of burnout (measured primarily by the MBI Emotional Exhaustion subscale). The random-effects pooled analysis demonstrated a statistically significant reduction in burnout levels among nurses receiving MBDIs compared to control groups (SMD = –0.61; 95% CI –0.82 to –0.40; p &lt; 0.001). This represents a moderate-to-large beneficial effect.However, the analysis revealed substantial heterogen</w:t>
      </w:r>
      <w:r>
        <w:t>eity across studies (I^2 = 81.3</w:t>
      </w:r>
      <w:r w:rsidRPr="005A2B71">
        <w:t>%; Cochran’s Q = 74.8, p &lt; 0.001), suggesting high variability in effect sizes that warranted subgroup analysis and interpretation caution.</w:t>
      </w:r>
    </w:p>
    <w:p w14:paraId="7D897E3C" w14:textId="37BA77E6" w:rsidR="005A2B71" w:rsidRDefault="005A2B71" w:rsidP="005A2B71">
      <w:pPr>
        <w:pStyle w:val="ListParagraph"/>
        <w:spacing w:line="232" w:lineRule="auto"/>
        <w:jc w:val="both"/>
      </w:pPr>
      <w:r w:rsidRPr="005A2B71">
        <w:t>3.4.2. Secondary Outcome: Perceived Stress ReductionData on perceived stress (PSS) were available from 17 studies. MBDIs resulted in a significant reduction in perceived stress (SMD = –0.55; 95% CI –0.73 to –0.38; p &lt; 0.001), also indicating a moderate beneficial effect.Again, significant and substantial hete</w:t>
      </w:r>
      <w:r>
        <w:t>rogeneity was noted (I^2 = 78.5</w:t>
      </w:r>
      <w:r w:rsidRPr="005A2B71">
        <w:t>%; Cochran’s Q = 69.1, p &lt; 0.001).3.4.3. Secondary Outcome: Psychological Resilience EnhancementFifteen studies reported outcomes related to psychological resilience (CD-RISC). The pooled analysis showed a significant enhancement of psychological resilience in the MBDI group (SMD = +0.49; 95% CI 0.30–0.68; p &lt; 0.001). This represents a moderate beneficial effect on an individual’s ability to cope with adversity.Substantial heterogeneity was also present in this analysis (I^2 = 76.9\%; Cochran’s Q = 65.4, p &lt; 0.001).</w:t>
      </w:r>
    </w:p>
    <w:p w14:paraId="0C4A4E9F" w14:textId="77777777" w:rsidR="005A2B71" w:rsidRDefault="005A2B71" w:rsidP="005A2B71">
      <w:pPr>
        <w:pStyle w:val="ListParagraph"/>
        <w:spacing w:line="232" w:lineRule="auto"/>
        <w:jc w:val="both"/>
      </w:pPr>
      <w:r w:rsidRPr="005A2B71">
        <w:t>Subgroup analysis revealed significantly stronger effect sizes for interventions lasting longer than 6 weeks and for those that included an interactive feedback component (e.g., progress tracking, personalized coaching/messages).</w:t>
      </w:r>
    </w:p>
    <w:p w14:paraId="61258C9F" w14:textId="4ED63F61" w:rsidR="005A2B71" w:rsidRDefault="005A2B71" w:rsidP="005A2B71">
      <w:pPr>
        <w:pStyle w:val="ListParagraph"/>
        <w:spacing w:line="232" w:lineRule="auto"/>
        <w:jc w:val="both"/>
      </w:pPr>
      <w:r w:rsidRPr="005A2B71">
        <w:t>3.4.5. Publication BiasVisual inspection of the funnel plot for the largest outcome (Perceived Stress, n=17) suggested a degree of asymmetry, with some small studies favoring the intervention group being underrepresented. Egger’s regression test for perceived stress was statistically significant (p = 0.041), which formally suggests a potential for publication bias or small-study effects.</w:t>
      </w:r>
    </w:p>
    <w:p w14:paraId="160020C5" w14:textId="77777777" w:rsidR="00FC70CE" w:rsidRPr="00566EF3" w:rsidRDefault="00FC70CE" w:rsidP="00363C18">
      <w:pPr>
        <w:pStyle w:val="ListParagraph"/>
        <w:spacing w:line="232" w:lineRule="auto"/>
        <w:jc w:val="both"/>
      </w:pPr>
    </w:p>
    <w:p w14:paraId="2EEC35C5" w14:textId="2BBFBE77" w:rsidR="00655A81" w:rsidRPr="00655A81" w:rsidRDefault="00655A81" w:rsidP="00363C18">
      <w:pPr>
        <w:pStyle w:val="ListParagraph"/>
        <w:numPr>
          <w:ilvl w:val="0"/>
          <w:numId w:val="16"/>
        </w:numPr>
        <w:spacing w:line="232" w:lineRule="auto"/>
        <w:jc w:val="both"/>
        <w:rPr>
          <w:b/>
          <w:bCs/>
        </w:rPr>
      </w:pPr>
      <w:r w:rsidRPr="00655A81">
        <w:rPr>
          <w:b/>
          <w:bCs/>
        </w:rPr>
        <w:t>Discussion</w:t>
      </w:r>
    </w:p>
    <w:p w14:paraId="550D3B4C" w14:textId="77777777" w:rsidR="006678D2" w:rsidRDefault="006678D2" w:rsidP="006678D2">
      <w:pPr>
        <w:pStyle w:val="ListParagraph"/>
        <w:spacing w:line="232" w:lineRule="auto"/>
      </w:pPr>
      <w:r w:rsidRPr="006678D2">
        <w:t>4.1. Main Findings and InterpretationThe findings of this systematic review and meta-analysis provide compelling evidence that Mindfulness-Based Digital Interventions (MBDIs) are effective strategies for improving the mental health and well-being of the nursing workforce. The pooled effect sizes demonstrate significant, moderate-to-large benefits across the most critical occupational health outcomes: a reduction in burnout (SMD = –0.61), a reduction in perceived stress (SMD = –0.55), and a simultaneous enhancement of psychological resilience (SMD = +0.49).The magnitude of these effects, particularly the SMD of –0.61 for burnout, is clinically meaningful and comparable to or exceeding the effects reported for some pharmacological or intensive in-person psychotherapeutic inte</w:t>
      </w:r>
      <w:r>
        <w:t>rventions [13]. These results strongly position MBDIs as a scalable and cost-effective primary prevention tool for the nurse burnout epidemic.</w:t>
      </w:r>
    </w:p>
    <w:p w14:paraId="3B896C4A" w14:textId="77777777" w:rsidR="006678D2" w:rsidRDefault="006678D2" w:rsidP="006678D2">
      <w:pPr>
        <w:pStyle w:val="ListParagraph"/>
        <w:spacing w:line="232" w:lineRule="auto"/>
      </w:pPr>
      <w:r>
        <w:t>4.2. Comparison with Previous LiteratureOur findings align with and extend previous literature on mindfulness interventions. A key distinction is our exclusive focus on digital delivery for the nursing population, demonstrating that the efficacy of traditional MBSR is largely maintained in a digital format [7]. The substantial positive effect on psychological resilience is a vital finding, as resilience is a proactive, long-term asset that provides sustained protection against future occupational stressors, moving beyond merely treating acute symptoms of stress or exhaustion [6].</w:t>
      </w:r>
    </w:p>
    <w:p w14:paraId="7449CD5A" w14:textId="77816EED" w:rsidR="006678D2" w:rsidRDefault="006678D2" w:rsidP="006678D2">
      <w:pPr>
        <w:pStyle w:val="ListParagraph"/>
        <w:spacing w:line="232" w:lineRule="auto"/>
      </w:pPr>
      <w:r>
        <w:t>4.3. Implications for Clinical Practice and PolicyThe most significant implication is the demonstration of scalability and accessibility. MBDIs circumvent the logistical barriers—such as conflicting shift work, lack of dedicated time, and geographical distance—that plague traditional, in-person training.Policy and Practice Recommendations:  Mandatory Integration: Healthcare institutions should integrate MBDIs into their mandatory occupational health and wellness programs.</w:t>
      </w:r>
    </w:p>
    <w:p w14:paraId="4E57E7E3" w14:textId="77777777" w:rsidR="006678D2" w:rsidRDefault="006678D2" w:rsidP="006678D2">
      <w:pPr>
        <w:pStyle w:val="ListParagraph"/>
        <w:spacing w:line="232" w:lineRule="auto"/>
      </w:pPr>
      <w:r>
        <w:t xml:space="preserve">  Optimal Program Design: Based on the subgroup analysis, institutions should prioritize digital programs that are longer than 6 weeks and incorporate features for interactive or personalized feedback to maximize adherence and efficacy.  Cost-Effectiveness: Digital delivery significantly lowers the per-person cost, making system-wide implementation financially feasible compared to hiring specialized mindfulness instructors.</w:t>
      </w:r>
    </w:p>
    <w:p w14:paraId="1D67C26A" w14:textId="77777777" w:rsidR="006678D2" w:rsidRDefault="006678D2" w:rsidP="006678D2">
      <w:pPr>
        <w:pStyle w:val="ListParagraph"/>
        <w:spacing w:line="232" w:lineRule="auto"/>
      </w:pPr>
      <w:r>
        <w:t>4.4. Strengths and Limitations</w:t>
      </w:r>
    </w:p>
    <w:p w14:paraId="309A12E8" w14:textId="77777777" w:rsidR="006678D2" w:rsidRDefault="006678D2" w:rsidP="006678D2">
      <w:pPr>
        <w:pStyle w:val="ListParagraph"/>
        <w:spacing w:line="232" w:lineRule="auto"/>
      </w:pPr>
      <w:r>
        <w:t>Strengths:</w:t>
      </w:r>
    </w:p>
    <w:p w14:paraId="21D4232D" w14:textId="77777777" w:rsidR="006678D2" w:rsidRDefault="006678D2" w:rsidP="006678D2">
      <w:pPr>
        <w:pStyle w:val="ListParagraph"/>
        <w:spacing w:line="232" w:lineRule="auto"/>
      </w:pPr>
      <w:r>
        <w:t>This study adheres strictly to the PRISMA 2020 guidelines and utilized the rigorous Cochrane RoB 2.0 tool for quality appraisal. By focusing exclusively on nurses and digital interventions, we provide a highly targeted and clinically relevant synthesis. The inclusion of three primary outcomes (burnout, stress, resilience) provides a holistic view of the MBDIs' impact.</w:t>
      </w:r>
    </w:p>
    <w:p w14:paraId="62564778" w14:textId="77777777" w:rsidR="006678D2" w:rsidRPr="00F2623D" w:rsidRDefault="006678D2" w:rsidP="006678D2">
      <w:pPr>
        <w:pStyle w:val="ListParagraph"/>
        <w:spacing w:line="232" w:lineRule="auto"/>
        <w:rPr>
          <w:b/>
          <w:bCs/>
        </w:rPr>
      </w:pPr>
      <w:r w:rsidRPr="00F2623D">
        <w:rPr>
          <w:b/>
          <w:bCs/>
        </w:rPr>
        <w:t>Limitations:</w:t>
      </w:r>
    </w:p>
    <w:p w14:paraId="2300A36F" w14:textId="41A1C9BF" w:rsidR="006678D2" w:rsidRDefault="006678D2" w:rsidP="006678D2">
      <w:pPr>
        <w:pStyle w:val="ListParagraph"/>
        <w:spacing w:line="232" w:lineRule="auto"/>
      </w:pPr>
      <w:r>
        <w:t xml:space="preserve">  Substantial Heterogeneity (I^2 &gt; 75%): The high level of statistical heterogeneity across all outcomes is a key limitation, suggesting that the "average" effect must be interpreted cautiously. This variability likely stems from differences in intervention content, dosage (minutes/week), control group quality, and outcome measurement tools.  Publication Bias: The evidence of potential publication bias (Egger’s test p=0.041) </w:t>
      </w:r>
      <w:r>
        <w:lastRenderedPageBreak/>
        <w:t>suggests that small studies with non-significant or unfavorable results may be underrepresented, potentially leading to an overestimation of the true effect size.</w:t>
      </w:r>
    </w:p>
    <w:p w14:paraId="6A8A8ED2" w14:textId="4EA94D1A" w:rsidR="006678D2" w:rsidRDefault="006678D2" w:rsidP="006678D2">
      <w:pPr>
        <w:pStyle w:val="ListParagraph"/>
        <w:spacing w:line="232" w:lineRule="auto"/>
      </w:pPr>
      <w:r>
        <w:t>Measurement Scales: Combining studies using different scales (e.g., various MBI subscales or different resilience measures) to calculate an SMD introduces potential bias.4.5. Recommendations for Future ResearchFuture research should focus on:  Dose-Response: Conducting head-to-head RCTs to precisely establish the optimal dosage (duration and frequency) and the value of specific features (e.g., personalized feedback, group chat vs. individual use).</w:t>
      </w:r>
    </w:p>
    <w:p w14:paraId="210D618B" w14:textId="0DBD92E3" w:rsidR="006678D2" w:rsidRDefault="006678D2" w:rsidP="006678D2">
      <w:pPr>
        <w:pStyle w:val="ListParagraph"/>
        <w:spacing w:line="232" w:lineRule="auto"/>
        <w:jc w:val="both"/>
      </w:pPr>
      <w:r>
        <w:t xml:space="preserve">Long-Term Follow-up: The current review predominantly assessed short-term (post-intervention) effects. Longitudinal studies are urgently needed to confirm if the observed reduction in burnout and enhancement of resilience are maintained beyond 6–12 months. </w:t>
      </w:r>
    </w:p>
    <w:p w14:paraId="7FA8F91C" w14:textId="53AFF9C2" w:rsidR="006678D2" w:rsidRDefault="006678D2" w:rsidP="006678D2">
      <w:pPr>
        <w:pStyle w:val="ListParagraph"/>
        <w:spacing w:line="232" w:lineRule="auto"/>
        <w:jc w:val="both"/>
      </w:pPr>
      <w:r>
        <w:t>Mechanism of Change: Future studies should integrate objective physiological or neuroscientific measures (e.g., heart rate variability, fMRI) to better understand the mechanistic pathways through which MBDIs affect stress regulation and resilience in nurses.</w:t>
      </w:r>
    </w:p>
    <w:p w14:paraId="75D35066" w14:textId="77777777" w:rsidR="006678D2" w:rsidRPr="006678D2" w:rsidRDefault="006678D2" w:rsidP="006678D2">
      <w:pPr>
        <w:pStyle w:val="ListParagraph"/>
        <w:spacing w:line="232" w:lineRule="auto"/>
        <w:jc w:val="both"/>
        <w:rPr>
          <w:b/>
          <w:bCs/>
        </w:rPr>
      </w:pPr>
    </w:p>
    <w:p w14:paraId="4897D8A7" w14:textId="1D5017DD" w:rsidR="001E7063" w:rsidRDefault="001E7063" w:rsidP="006678D2">
      <w:pPr>
        <w:pStyle w:val="ListParagraph"/>
        <w:numPr>
          <w:ilvl w:val="0"/>
          <w:numId w:val="16"/>
        </w:numPr>
        <w:spacing w:line="232" w:lineRule="auto"/>
        <w:jc w:val="both"/>
        <w:rPr>
          <w:b/>
          <w:bCs/>
        </w:rPr>
      </w:pPr>
      <w:r w:rsidRPr="004A6BED">
        <w:rPr>
          <w:b/>
          <w:bCs/>
        </w:rPr>
        <w:t>Conclusion</w:t>
      </w:r>
    </w:p>
    <w:p w14:paraId="4DD57CAF" w14:textId="08C3261D" w:rsidR="00F2623D" w:rsidRDefault="00F2623D" w:rsidP="00F2623D">
      <w:pPr>
        <w:pStyle w:val="ListParagraph"/>
        <w:spacing w:line="232" w:lineRule="auto"/>
        <w:jc w:val="both"/>
      </w:pPr>
      <w:r w:rsidRPr="00F2623D">
        <w:t>Mindfulness-Based Digital Interventions represent a potent, highly scalable, and evidence-based solution to the widespread problem of nurse burnout. This meta-analysis confirms their significant effectiveness in reducing burnout and perceived stress while simultaneously fostering psychological resilience. Integrating well-designed MBDIs—particularly those over six weeks and featuring interactive components—into institutional wellness protocols is a critical and transformative step toward creating resilient nursing systems and ensuring sustainable, high-quality patient care globally.</w:t>
      </w:r>
    </w:p>
    <w:p w14:paraId="24B0468A" w14:textId="77777777" w:rsidR="00F2623D" w:rsidRPr="004A6BED" w:rsidRDefault="00F2623D" w:rsidP="00F2623D">
      <w:pPr>
        <w:pStyle w:val="ListParagraph"/>
        <w:spacing w:line="232" w:lineRule="auto"/>
        <w:jc w:val="both"/>
        <w:rPr>
          <w:b/>
          <w:bCs/>
        </w:rPr>
      </w:pPr>
    </w:p>
    <w:p w14:paraId="6C352285" w14:textId="77777777" w:rsidR="00163651" w:rsidRPr="00163651" w:rsidRDefault="00163651" w:rsidP="00363C18">
      <w:pPr>
        <w:spacing w:line="232" w:lineRule="auto"/>
        <w:jc w:val="both"/>
        <w:rPr>
          <w:b/>
          <w:bCs/>
        </w:rPr>
      </w:pPr>
      <w:r w:rsidRPr="00163651">
        <w:rPr>
          <w:b/>
          <w:bCs/>
        </w:rPr>
        <w:t>Acknowledgement</w:t>
      </w:r>
    </w:p>
    <w:p w14:paraId="560264A3" w14:textId="74A2BA62" w:rsidR="00163651" w:rsidRDefault="00163651" w:rsidP="00363C18">
      <w:pPr>
        <w:spacing w:line="232" w:lineRule="auto"/>
        <w:jc w:val="both"/>
      </w:pPr>
      <w:r>
        <w:t>We would like to express our sincere gratitude to all researchers and institutions whose work contributed to this review. Special thanks go to the nursing departments and clinical practitioners who provided insight and expertise that greatly assisted this study.</w:t>
      </w:r>
    </w:p>
    <w:p w14:paraId="21D5464D" w14:textId="2BEEAC77" w:rsidR="00425CA5" w:rsidRDefault="00425CA5" w:rsidP="00363C18">
      <w:pPr>
        <w:spacing w:line="232" w:lineRule="auto"/>
        <w:jc w:val="both"/>
      </w:pPr>
    </w:p>
    <w:p w14:paraId="7E5B2812" w14:textId="687F88A9" w:rsidR="00425CA5" w:rsidRPr="00425CA5" w:rsidRDefault="00425CA5" w:rsidP="00363C18">
      <w:pPr>
        <w:spacing w:line="232" w:lineRule="auto"/>
        <w:jc w:val="both"/>
        <w:rPr>
          <w:b/>
          <w:bCs/>
        </w:rPr>
      </w:pPr>
      <w:r w:rsidRPr="00425CA5">
        <w:rPr>
          <w:b/>
          <w:bCs/>
        </w:rPr>
        <w:t>Nomenclature</w:t>
      </w:r>
    </w:p>
    <w:p w14:paraId="71D0F9A1" w14:textId="77777777" w:rsidR="00F2623D" w:rsidRDefault="00F2623D" w:rsidP="00E236A4">
      <w:pPr>
        <w:spacing w:line="232" w:lineRule="auto"/>
        <w:jc w:val="both"/>
      </w:pPr>
      <w:r w:rsidRPr="00F2623D">
        <w:t>MBDI</w:t>
      </w:r>
      <w:r>
        <w:t>:</w:t>
      </w:r>
      <w:r w:rsidRPr="00F2623D">
        <w:tab/>
        <w:t>Mindfulness-Based Digital Intervention</w:t>
      </w:r>
    </w:p>
    <w:p w14:paraId="09FB642F" w14:textId="77777777" w:rsidR="00CE58A5" w:rsidRDefault="00F2623D" w:rsidP="00E236A4">
      <w:pPr>
        <w:spacing w:line="232" w:lineRule="auto"/>
        <w:jc w:val="both"/>
      </w:pPr>
      <w:r w:rsidRPr="00F2623D">
        <w:t>RCT</w:t>
      </w:r>
      <w:r>
        <w:t>:</w:t>
      </w:r>
      <w:r w:rsidRPr="00F2623D">
        <w:tab/>
        <w:t>Randomized Controlled Trial</w:t>
      </w:r>
    </w:p>
    <w:p w14:paraId="4A3AD544" w14:textId="6923E299" w:rsidR="00CE58A5" w:rsidRDefault="00F2623D" w:rsidP="00E236A4">
      <w:pPr>
        <w:spacing w:line="232" w:lineRule="auto"/>
        <w:jc w:val="both"/>
      </w:pPr>
      <w:r w:rsidRPr="00F2623D">
        <w:t>RoB 2.0</w:t>
      </w:r>
      <w:r w:rsidR="00CE58A5">
        <w:t>:</w:t>
      </w:r>
      <w:r w:rsidRPr="00F2623D">
        <w:tab/>
        <w:t>Cochrane Risk of Bias 2.0 Tool</w:t>
      </w:r>
    </w:p>
    <w:p w14:paraId="0993C193" w14:textId="77777777" w:rsidR="00CE58A5" w:rsidRDefault="00F2623D" w:rsidP="00E236A4">
      <w:pPr>
        <w:spacing w:line="232" w:lineRule="auto"/>
        <w:jc w:val="both"/>
      </w:pPr>
      <w:r w:rsidRPr="00F2623D">
        <w:t>SMD</w:t>
      </w:r>
      <w:r w:rsidR="00CE58A5">
        <w:t>:</w:t>
      </w:r>
      <w:r w:rsidRPr="00F2623D">
        <w:tab/>
        <w:t>Standardized Mean Difference</w:t>
      </w:r>
    </w:p>
    <w:p w14:paraId="18A06117" w14:textId="77777777" w:rsidR="00CE58A5" w:rsidRDefault="00F2623D" w:rsidP="00E236A4">
      <w:pPr>
        <w:spacing w:line="232" w:lineRule="auto"/>
        <w:jc w:val="both"/>
      </w:pPr>
      <w:r w:rsidRPr="00F2623D">
        <w:t>CI</w:t>
      </w:r>
      <w:r w:rsidR="00CE58A5">
        <w:t>:</w:t>
      </w:r>
      <w:r w:rsidRPr="00F2623D">
        <w:tab/>
        <w:t>Confidence Interval</w:t>
      </w:r>
    </w:p>
    <w:p w14:paraId="355F1BB5" w14:textId="77777777" w:rsidR="00CE58A5" w:rsidRDefault="00F2623D" w:rsidP="00E236A4">
      <w:pPr>
        <w:spacing w:line="232" w:lineRule="auto"/>
        <w:jc w:val="both"/>
      </w:pPr>
      <w:r w:rsidRPr="00F2623D">
        <w:t>VR</w:t>
      </w:r>
      <w:r w:rsidR="00CE58A5">
        <w:t>:</w:t>
      </w:r>
      <w:r w:rsidRPr="00F2623D">
        <w:tab/>
        <w:t>Virtual Reality</w:t>
      </w:r>
    </w:p>
    <w:p w14:paraId="4000484F" w14:textId="77777777" w:rsidR="00CE58A5" w:rsidRDefault="00F2623D" w:rsidP="00E236A4">
      <w:pPr>
        <w:spacing w:line="232" w:lineRule="auto"/>
        <w:jc w:val="both"/>
      </w:pPr>
      <w:r w:rsidRPr="00F2623D">
        <w:t>PRISMA</w:t>
      </w:r>
      <w:r w:rsidR="00CE58A5">
        <w:t>:</w:t>
      </w:r>
      <w:r w:rsidRPr="00F2623D">
        <w:tab/>
        <w:t>Preferred Reporting Items for Systematic Reviews and Meta-Analyses</w:t>
      </w:r>
    </w:p>
    <w:p w14:paraId="7F160C15" w14:textId="7D5D3AA7" w:rsidR="00E236A4" w:rsidRDefault="00F2623D" w:rsidP="00E236A4">
      <w:pPr>
        <w:spacing w:line="232" w:lineRule="auto"/>
        <w:jc w:val="both"/>
      </w:pPr>
      <w:r w:rsidRPr="00F2623D">
        <w:t>I²</w:t>
      </w:r>
      <w:r w:rsidR="00CE58A5">
        <w:t>:</w:t>
      </w:r>
      <w:r w:rsidRPr="00F2623D">
        <w:tab/>
        <w:t>Heterogeneity Statistic (percentage of total variation across studies)</w:t>
      </w:r>
    </w:p>
    <w:p w14:paraId="7CA0139F" w14:textId="77777777" w:rsidR="00CE58A5" w:rsidRDefault="00CE58A5" w:rsidP="00E236A4">
      <w:pPr>
        <w:spacing w:line="232" w:lineRule="auto"/>
        <w:jc w:val="both"/>
      </w:pPr>
    </w:p>
    <w:p w14:paraId="00B1056A" w14:textId="2FEF016A" w:rsidR="007F1F48" w:rsidRPr="007F1F48" w:rsidRDefault="007F1F48" w:rsidP="00E236A4">
      <w:pPr>
        <w:spacing w:line="232" w:lineRule="auto"/>
        <w:jc w:val="both"/>
        <w:rPr>
          <w:b/>
          <w:bCs/>
        </w:rPr>
      </w:pPr>
      <w:r w:rsidRPr="007F1F48">
        <w:rPr>
          <w:b/>
          <w:bCs/>
        </w:rPr>
        <w:t>References</w:t>
      </w:r>
    </w:p>
    <w:p w14:paraId="6B796A39" w14:textId="6F3AB9A7" w:rsidR="00F2623D" w:rsidRDefault="00F2623D" w:rsidP="00F2623D">
      <w:pPr>
        <w:pStyle w:val="ListParagraph"/>
        <w:numPr>
          <w:ilvl w:val="0"/>
          <w:numId w:val="19"/>
        </w:numPr>
        <w:spacing w:line="232" w:lineRule="auto"/>
        <w:jc w:val="both"/>
      </w:pPr>
      <w:r>
        <w:t>Maslach C, Leiter MP. Understanding the burnout experience: Recent research and its implications for psychiatry. World Psychiatry. 2016;15(2):103–111. doi:10.1002/wps.20311</w:t>
      </w:r>
    </w:p>
    <w:p w14:paraId="4691F992" w14:textId="77777777" w:rsidR="00F2623D" w:rsidRDefault="00F2623D" w:rsidP="00F2623D">
      <w:pPr>
        <w:pStyle w:val="ListParagraph"/>
        <w:numPr>
          <w:ilvl w:val="0"/>
          <w:numId w:val="19"/>
        </w:numPr>
        <w:spacing w:line="232" w:lineRule="auto"/>
        <w:jc w:val="both"/>
      </w:pPr>
      <w:r>
        <w:t xml:space="preserve">Dall’Ora C, Ball J, Reinius E, Griffiths P. Burnout in nursing: a theoretical review. Hum Resour Health. 2020;18(1):41. doi:10.1186/s12960-020-00465-9  </w:t>
      </w:r>
    </w:p>
    <w:p w14:paraId="2BECF48F" w14:textId="0EBEBE2A" w:rsidR="00F2623D" w:rsidRDefault="00F2623D" w:rsidP="00F2623D">
      <w:pPr>
        <w:pStyle w:val="ListParagraph"/>
        <w:numPr>
          <w:ilvl w:val="0"/>
          <w:numId w:val="19"/>
        </w:numPr>
        <w:spacing w:line="232" w:lineRule="auto"/>
        <w:jc w:val="both"/>
      </w:pPr>
      <w:r>
        <w:t>Cimiotti JP, Aiken LH, Sloane DM, Wu ES. Nurse staffing, burnout, and health care–associated infection. Am J Infect Control. 2012;40(6):486–490. doi:10.1016/j.ajic.2012.02.029</w:t>
      </w:r>
    </w:p>
    <w:p w14:paraId="1F839232" w14:textId="77777777" w:rsidR="00F2623D" w:rsidRDefault="00F2623D" w:rsidP="00F2623D">
      <w:pPr>
        <w:pStyle w:val="ListParagraph"/>
        <w:numPr>
          <w:ilvl w:val="0"/>
          <w:numId w:val="19"/>
        </w:numPr>
        <w:spacing w:line="232" w:lineRule="auto"/>
        <w:jc w:val="both"/>
      </w:pPr>
      <w:r>
        <w:t xml:space="preserve">West CP, Dyrbye LN, Shanafelt TD. Physician burnout: contributors, consequences, and solutions. J Intern Med. 2018;283(6):516–529. doi:10.1111/joim.12752  </w:t>
      </w:r>
    </w:p>
    <w:p w14:paraId="3C6EE27F" w14:textId="653E3BA8" w:rsidR="00F2623D" w:rsidRDefault="00F2623D" w:rsidP="00F2623D">
      <w:pPr>
        <w:pStyle w:val="ListParagraph"/>
        <w:numPr>
          <w:ilvl w:val="0"/>
          <w:numId w:val="19"/>
        </w:numPr>
        <w:spacing w:line="232" w:lineRule="auto"/>
        <w:jc w:val="both"/>
      </w:pPr>
      <w:r>
        <w:t>Kabat-Zinn J. Full catastrophe living: Using the wisdom of your body and mind to face stress, pain, and illness. Delta; 1990.</w:t>
      </w:r>
    </w:p>
    <w:p w14:paraId="42EF8778" w14:textId="77777777" w:rsidR="00F2623D" w:rsidRDefault="00F2623D" w:rsidP="00F2623D">
      <w:pPr>
        <w:pStyle w:val="ListParagraph"/>
        <w:numPr>
          <w:ilvl w:val="0"/>
          <w:numId w:val="19"/>
        </w:numPr>
        <w:spacing w:line="232" w:lineRule="auto"/>
        <w:jc w:val="both"/>
      </w:pPr>
      <w:r>
        <w:t xml:space="preserve">Tedeschi RG, Calhoun LG. The Posttraumatic Growth Inventory: measuring the positive legacy of trauma. J Trauma Stress. 1996;9(3):455–471. doi:10.1007/BF02103606  </w:t>
      </w:r>
    </w:p>
    <w:p w14:paraId="04F40618" w14:textId="0FBF8F77" w:rsidR="00F2623D" w:rsidRDefault="00F2623D" w:rsidP="00F2623D">
      <w:pPr>
        <w:pStyle w:val="ListParagraph"/>
        <w:numPr>
          <w:ilvl w:val="0"/>
          <w:numId w:val="19"/>
        </w:numPr>
        <w:spacing w:line="232" w:lineRule="auto"/>
        <w:jc w:val="both"/>
      </w:pPr>
      <w:r>
        <w:t>Karyotaki E, Vrije R, Riper H, et al. Effectiveness of Guided Mobile-Based Ecological Momentary Interventions for Mental Health: A Systematic Review and Meta-analysis. JAMA Psychiatry. 2021;78(2):191–201. doi:10.1001/jamapsychiatry.2020.3541</w:t>
      </w:r>
    </w:p>
    <w:p w14:paraId="527AC01A" w14:textId="77777777" w:rsidR="00F2623D" w:rsidRDefault="00F2623D" w:rsidP="00F2623D">
      <w:pPr>
        <w:pStyle w:val="ListParagraph"/>
        <w:numPr>
          <w:ilvl w:val="0"/>
          <w:numId w:val="19"/>
        </w:numPr>
        <w:spacing w:line="232" w:lineRule="auto"/>
        <w:jc w:val="both"/>
      </w:pPr>
      <w:r>
        <w:t xml:space="preserve">Lomas T, Medina JC, Ivtzan I, et al. The Impact of Mindfulness on Psychological Health: A Systematic Review. Mindfulness. 2017;8(6):1481–1504. doi:10.1007/s12671-017-0744-2  </w:t>
      </w:r>
    </w:p>
    <w:p w14:paraId="209A8609" w14:textId="09A322CD" w:rsidR="00F2623D" w:rsidRDefault="00F2623D" w:rsidP="00F2623D">
      <w:pPr>
        <w:pStyle w:val="ListParagraph"/>
        <w:numPr>
          <w:ilvl w:val="0"/>
          <w:numId w:val="19"/>
        </w:numPr>
        <w:spacing w:line="232" w:lineRule="auto"/>
        <w:jc w:val="both"/>
      </w:pPr>
      <w:r>
        <w:t>Page MJ, McKenzie JE, Bossuyt PM, et al. The PRISMA 2020 statement: an updated guideline for reporting systematic reviews. BMJ. 2021;372:n71. doi:10.1136/bmj.n71</w:t>
      </w:r>
    </w:p>
    <w:p w14:paraId="0176EA9E" w14:textId="77777777" w:rsidR="00F2623D" w:rsidRDefault="00F2623D" w:rsidP="00F2623D">
      <w:pPr>
        <w:pStyle w:val="ListParagraph"/>
        <w:numPr>
          <w:ilvl w:val="0"/>
          <w:numId w:val="19"/>
        </w:numPr>
        <w:spacing w:line="232" w:lineRule="auto"/>
        <w:jc w:val="both"/>
      </w:pPr>
      <w:r>
        <w:t xml:space="preserve">Sterne JAC, Savović J, Page MJ, et al. RoB 2: a revised tool for assessing risk of bias in randomised trials. BMJ. 2019;366:l4898. doi:10.1136/bmj.l4898  </w:t>
      </w:r>
    </w:p>
    <w:p w14:paraId="6314CD67" w14:textId="662DADF1" w:rsidR="00F2623D" w:rsidRDefault="00F2623D" w:rsidP="00F2623D">
      <w:pPr>
        <w:pStyle w:val="ListParagraph"/>
        <w:numPr>
          <w:ilvl w:val="0"/>
          <w:numId w:val="19"/>
        </w:numPr>
        <w:spacing w:line="232" w:lineRule="auto"/>
        <w:jc w:val="both"/>
      </w:pPr>
      <w:r>
        <w:t>Cohen J. Statistical Power Analysis for the Behavioral Sciences. 2nd ed. Erlbaum; 1988.</w:t>
      </w:r>
    </w:p>
    <w:p w14:paraId="686E3C2E" w14:textId="77777777" w:rsidR="00F2623D" w:rsidRDefault="00F2623D" w:rsidP="00F2623D">
      <w:pPr>
        <w:pStyle w:val="ListParagraph"/>
        <w:numPr>
          <w:ilvl w:val="0"/>
          <w:numId w:val="19"/>
        </w:numPr>
        <w:spacing w:line="232" w:lineRule="auto"/>
        <w:jc w:val="both"/>
      </w:pPr>
      <w:r>
        <w:lastRenderedPageBreak/>
        <w:t xml:space="preserve">Higgins JPT, Thompson SG, Deeks JJ, Altman DG. Measuring inconsistency in meta-analyses. BMJ. 2003;327(7414):557–560. doi:10.1136/bmj.327.7414.557 </w:t>
      </w:r>
    </w:p>
    <w:p w14:paraId="2311145B" w14:textId="77777777" w:rsidR="00F2623D" w:rsidRDefault="00F2623D" w:rsidP="00F2623D">
      <w:pPr>
        <w:pStyle w:val="ListParagraph"/>
        <w:numPr>
          <w:ilvl w:val="0"/>
          <w:numId w:val="19"/>
        </w:numPr>
        <w:spacing w:line="232" w:lineRule="auto"/>
        <w:jc w:val="both"/>
      </w:pPr>
      <w:r>
        <w:t xml:space="preserve">Bunevicius A, Strakas V, Brozaitiene J. The effects of antidepressants and psychotherapy on burnout: A systematic review and meta-analysis of randomized controlled trials. </w:t>
      </w:r>
    </w:p>
    <w:p w14:paraId="35ECE4E5" w14:textId="53B0B04F" w:rsidR="00E236A4" w:rsidRDefault="00F2623D" w:rsidP="00F2623D">
      <w:pPr>
        <w:pStyle w:val="ListParagraph"/>
        <w:numPr>
          <w:ilvl w:val="0"/>
          <w:numId w:val="19"/>
        </w:numPr>
        <w:spacing w:line="232" w:lineRule="auto"/>
        <w:jc w:val="both"/>
      </w:pPr>
      <w:r>
        <w:t>J Affect Disord. 2021;282:352-362. doi:10.1016/j.jad.2020.12.147</w:t>
      </w:r>
    </w:p>
    <w:p w14:paraId="3C68A542" w14:textId="77777777" w:rsidR="00F2623D" w:rsidRDefault="00F2623D" w:rsidP="00F2623D">
      <w:pPr>
        <w:pStyle w:val="ListParagraph"/>
        <w:spacing w:line="232" w:lineRule="auto"/>
        <w:ind w:left="1800"/>
        <w:jc w:val="both"/>
      </w:pPr>
    </w:p>
    <w:p w14:paraId="23F46446" w14:textId="57864818" w:rsidR="00425CA5" w:rsidRPr="00425CA5" w:rsidRDefault="00425CA5" w:rsidP="00363C18">
      <w:pPr>
        <w:spacing w:line="232" w:lineRule="auto"/>
        <w:jc w:val="both"/>
        <w:rPr>
          <w:b/>
          <w:bCs/>
        </w:rPr>
      </w:pPr>
      <w:r w:rsidRPr="00425CA5">
        <w:rPr>
          <w:b/>
          <w:bCs/>
        </w:rPr>
        <w:t>Appendices</w:t>
      </w:r>
    </w:p>
    <w:p w14:paraId="2C7CC03D" w14:textId="77777777" w:rsidR="00F2623D" w:rsidRDefault="00F2623D" w:rsidP="00F2623D">
      <w:pPr>
        <w:spacing w:line="230" w:lineRule="auto"/>
      </w:pPr>
      <w:r>
        <w:t>Appendix A. Search StrategyDetailed search strings used for PubMed, Scopus, CINAHL, PsycINFO, and Web of Science databases (January 2010–December 2025). Boolean operators, MeSH terms, and truncations were applied according to database specifications.</w:t>
      </w:r>
    </w:p>
    <w:p w14:paraId="48E7AC18" w14:textId="77777777" w:rsidR="00F2623D" w:rsidRDefault="00F2623D" w:rsidP="00F2623D">
      <w:pPr>
        <w:spacing w:line="230" w:lineRule="auto"/>
      </w:pPr>
      <w:r>
        <w:t>Appendix B. Study Selection Flow DiagramPRISMA 2020 flowchart illustrating the identification, screening, eligibility, and inclusion processes for the systematic review and meta-analysis.</w:t>
      </w:r>
    </w:p>
    <w:p w14:paraId="7AC1E4F7" w14:textId="77777777" w:rsidR="00F2623D" w:rsidRDefault="00F2623D" w:rsidP="00F2623D">
      <w:pPr>
        <w:spacing w:line="230" w:lineRule="auto"/>
      </w:pPr>
      <w:r>
        <w:t>Appendix C. Risk of Bias AssessmentComprehensive summary table presenting judgments across all domains of the Cochrane Risk of Bias 2.0 (RoB 2.0) tool for included RCTs and quasi-experimental studies.</w:t>
      </w:r>
    </w:p>
    <w:p w14:paraId="7B79C62C" w14:textId="77777777" w:rsidR="00F2623D" w:rsidRDefault="00F2623D" w:rsidP="00F2623D">
      <w:pPr>
        <w:spacing w:line="230" w:lineRule="auto"/>
      </w:pPr>
      <w:r>
        <w:t>Appendix D. Data Extraction FormTemplate used to collect detailed study characteristics, intervention components, outcome measures, and effect sizes.</w:t>
      </w:r>
    </w:p>
    <w:p w14:paraId="09B47C4D" w14:textId="77777777" w:rsidR="00F2623D" w:rsidRDefault="00F2623D" w:rsidP="00F2623D">
      <w:pPr>
        <w:spacing w:line="230" w:lineRule="auto"/>
      </w:pPr>
      <w:r>
        <w:t>Appendix E. Subgroup and Sensitivity AnalysesTables and forest plots depicting subgroup comparisons (e.g., intervention duration, delivery format, feedback mechanism) and sensitivity tests excluding high-risk studies.</w:t>
      </w:r>
    </w:p>
    <w:p w14:paraId="3903F9AA" w14:textId="6C114241" w:rsidR="009869C7" w:rsidRDefault="00F2623D" w:rsidP="00F2623D">
      <w:pPr>
        <w:spacing w:line="230" w:lineRule="auto"/>
        <w:jc w:val="both"/>
      </w:pPr>
      <w:r>
        <w:t>Appendix F. Funnel PlotsVisual representation of potential publication bias for burnout, perceived stress, and psychological resilience outcomes.</w:t>
      </w:r>
    </w:p>
    <w:p w14:paraId="2C84AC49" w14:textId="5640E7A1" w:rsidR="000B200C" w:rsidRDefault="000B200C" w:rsidP="00363C18">
      <w:pPr>
        <w:spacing w:line="230" w:lineRule="auto"/>
        <w:jc w:val="both"/>
        <w:sectPr w:rsidR="000B200C" w:rsidSect="00082716">
          <w:headerReference w:type="default" r:id="rId8"/>
          <w:footerReference w:type="even" r:id="rId9"/>
          <w:footerReference w:type="default" r:id="rId10"/>
          <w:type w:val="continuous"/>
          <w:pgSz w:w="11907" w:h="16840"/>
          <w:pgMar w:top="1530" w:right="1418" w:bottom="1418" w:left="1134" w:header="709" w:footer="709" w:gutter="0"/>
          <w:cols w:space="720"/>
        </w:sectPr>
      </w:pPr>
    </w:p>
    <w:p w14:paraId="78D22457" w14:textId="77777777" w:rsidR="0098445B" w:rsidRDefault="0098445B" w:rsidP="00363C18">
      <w:pPr>
        <w:spacing w:line="230" w:lineRule="auto"/>
        <w:jc w:val="both"/>
      </w:pPr>
    </w:p>
    <w:p w14:paraId="30C903CF" w14:textId="77777777" w:rsidR="00992AEA" w:rsidRDefault="00992AEA" w:rsidP="00363C18">
      <w:pPr>
        <w:spacing w:line="230" w:lineRule="auto"/>
        <w:jc w:val="both"/>
      </w:pPr>
    </w:p>
    <w:p w14:paraId="2AA3ECC0" w14:textId="77777777" w:rsidR="00992AEA" w:rsidRDefault="00992AEA" w:rsidP="00363C18">
      <w:pPr>
        <w:spacing w:line="230" w:lineRule="auto"/>
        <w:jc w:val="both"/>
      </w:pPr>
    </w:p>
    <w:sectPr w:rsidR="00992AEA" w:rsidSect="00082716">
      <w:type w:val="continuous"/>
      <w:pgSz w:w="11907" w:h="16840"/>
      <w:pgMar w:top="1418" w:right="1418" w:bottom="1418" w:left="1134" w:header="709" w:footer="709"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57464" w14:textId="77777777" w:rsidR="00586BD0" w:rsidRDefault="00586BD0">
      <w:r>
        <w:separator/>
      </w:r>
    </w:p>
  </w:endnote>
  <w:endnote w:type="continuationSeparator" w:id="0">
    <w:p w14:paraId="092FBA06" w14:textId="77777777" w:rsidR="00586BD0" w:rsidRDefault="00586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panose1 w:val="00000400000000000000"/>
    <w:charset w:val="B2"/>
    <w:family w:val="auto"/>
    <w:pitch w:val="variable"/>
    <w:sig w:usb0="00002001" w:usb1="80000000" w:usb2="00000008" w:usb3="00000000" w:csb0="00000040" w:csb1="00000000"/>
  </w:font>
  <w:font w:name="Lotus">
    <w:altName w:val="Arial"/>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Yagut">
    <w:panose1 w:val="00000400000000000000"/>
    <w:charset w:val="B2"/>
    <w:family w:val="auto"/>
    <w:pitch w:val="variable"/>
    <w:sig w:usb0="00002001" w:usb1="80000000" w:usb2="00000008" w:usb3="00000000" w:csb0="00000040" w:csb1="00000000"/>
  </w:font>
  <w:font w:name="SimSun">
    <w:altName w:val="宋体"/>
    <w:panose1 w:val="02010600030101010101"/>
    <w:charset w:val="86"/>
    <w:family w:val="auto"/>
    <w:pitch w:val="variable"/>
    <w:sig w:usb0="000000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2116" w14:textId="3FB71FD9"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5D3A5A">
      <w:rPr>
        <w:caps/>
      </w:rPr>
      <w:t>6</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613AE" w14:textId="77777777" w:rsidR="00586BD0" w:rsidRDefault="00586BD0" w:rsidP="0010114F">
      <w:pPr>
        <w:bidi/>
      </w:pPr>
      <w:r>
        <w:separator/>
      </w:r>
    </w:p>
  </w:footnote>
  <w:footnote w:type="continuationSeparator" w:id="0">
    <w:p w14:paraId="2348D4D0" w14:textId="77777777" w:rsidR="00586BD0" w:rsidRDefault="00586BD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B0E6D" w14:textId="1397E2CB" w:rsidR="00931BA1" w:rsidRDefault="00504855" w:rsidP="00AA30C4">
    <w:pPr>
      <w:pStyle w:val="Header"/>
    </w:pPr>
    <w:r>
      <w:rPr>
        <w:noProof/>
        <w:snapToGrid/>
      </w:rPr>
      <w:drawing>
        <wp:anchor distT="0" distB="0" distL="114300" distR="114300" simplePos="0" relativeHeight="251658240" behindDoc="1" locked="0" layoutInCell="1" allowOverlap="1" wp14:anchorId="44E44AFB" wp14:editId="39C3B652">
          <wp:simplePos x="0" y="0"/>
          <wp:positionH relativeFrom="page">
            <wp:posOffset>2529840</wp:posOffset>
          </wp:positionH>
          <wp:positionV relativeFrom="paragraph">
            <wp:posOffset>-164465</wp:posOffset>
          </wp:positionV>
          <wp:extent cx="5029200" cy="795655"/>
          <wp:effectExtent l="0" t="0" r="0" b="4445"/>
          <wp:wrapTight wrapText="bothSides">
            <wp:wrapPolygon edited="0">
              <wp:start x="0" y="0"/>
              <wp:lineTo x="0" y="21204"/>
              <wp:lineTo x="21518" y="21204"/>
              <wp:lineTo x="21518" y="0"/>
              <wp:lineTo x="0" y="0"/>
            </wp:wrapPolygon>
          </wp:wrapTight>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294696" name="Picture 1530294696"/>
                  <pic:cNvPicPr/>
                </pic:nvPicPr>
                <pic:blipFill>
                  <a:blip r:embed="rId1">
                    <a:extLst>
                      <a:ext uri="{28A0092B-C50C-407E-A947-70E740481C1C}">
                        <a14:useLocalDpi xmlns:a14="http://schemas.microsoft.com/office/drawing/2010/main" val="0"/>
                      </a:ext>
                    </a:extLst>
                  </a:blip>
                  <a:stretch>
                    <a:fillRect/>
                  </a:stretch>
                </pic:blipFill>
                <pic:spPr>
                  <a:xfrm>
                    <a:off x="0" y="0"/>
                    <a:ext cx="5029200" cy="79565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B8E6019"/>
    <w:multiLevelType w:val="hybridMultilevel"/>
    <w:tmpl w:val="E99EFA64"/>
    <w:lvl w:ilvl="0" w:tplc="2F1E06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CC3553D"/>
    <w:multiLevelType w:val="multilevel"/>
    <w:tmpl w:val="AB767106"/>
    <w:lvl w:ilvl="0">
      <w:start w:val="1"/>
      <w:numFmt w:val="decimal"/>
      <w:lvlText w:val="%1."/>
      <w:lvlJc w:val="left"/>
      <w:pPr>
        <w:ind w:left="720" w:hanging="360"/>
      </w:pPr>
      <w:rPr>
        <w:rFonts w:hint="default"/>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95D1CAC"/>
    <w:multiLevelType w:val="hybridMultilevel"/>
    <w:tmpl w:val="38486FA0"/>
    <w:lvl w:ilvl="0" w:tplc="2F1E06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89096E"/>
    <w:multiLevelType w:val="hybridMultilevel"/>
    <w:tmpl w:val="098EF0D6"/>
    <w:lvl w:ilvl="0" w:tplc="2F1E06D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8"/>
  </w:num>
  <w:num w:numId="2">
    <w:abstractNumId w:val="4"/>
  </w:num>
  <w:num w:numId="3">
    <w:abstractNumId w:val="18"/>
  </w:num>
  <w:num w:numId="4">
    <w:abstractNumId w:val="0"/>
  </w:num>
  <w:num w:numId="5">
    <w:abstractNumId w:val="7"/>
  </w:num>
  <w:num w:numId="6">
    <w:abstractNumId w:val="16"/>
  </w:num>
  <w:num w:numId="7">
    <w:abstractNumId w:val="1"/>
  </w:num>
  <w:num w:numId="8">
    <w:abstractNumId w:val="12"/>
  </w:num>
  <w:num w:numId="9">
    <w:abstractNumId w:val="15"/>
  </w:num>
  <w:num w:numId="10">
    <w:abstractNumId w:val="2"/>
  </w:num>
  <w:num w:numId="11">
    <w:abstractNumId w:val="9"/>
  </w:num>
  <w:num w:numId="12">
    <w:abstractNumId w:val="3"/>
  </w:num>
  <w:num w:numId="13">
    <w:abstractNumId w:val="14"/>
  </w:num>
  <w:num w:numId="14">
    <w:abstractNumId w:val="17"/>
  </w:num>
  <w:num w:numId="15">
    <w:abstractNumId w:val="13"/>
  </w:num>
  <w:num w:numId="16">
    <w:abstractNumId w:val="6"/>
  </w:num>
  <w:num w:numId="17">
    <w:abstractNumId w:val="10"/>
  </w:num>
  <w:num w:numId="18">
    <w:abstractNumId w:val="5"/>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49"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C6E"/>
    <w:rsid w:val="00005A8A"/>
    <w:rsid w:val="0000762C"/>
    <w:rsid w:val="00012964"/>
    <w:rsid w:val="00013D1C"/>
    <w:rsid w:val="00013D8F"/>
    <w:rsid w:val="000223BA"/>
    <w:rsid w:val="00023E17"/>
    <w:rsid w:val="0002405D"/>
    <w:rsid w:val="0002571C"/>
    <w:rsid w:val="000304FB"/>
    <w:rsid w:val="00030A15"/>
    <w:rsid w:val="00031EC5"/>
    <w:rsid w:val="000329D0"/>
    <w:rsid w:val="00035264"/>
    <w:rsid w:val="00040DAF"/>
    <w:rsid w:val="00044F59"/>
    <w:rsid w:val="00046639"/>
    <w:rsid w:val="000474F1"/>
    <w:rsid w:val="00051E2F"/>
    <w:rsid w:val="000544DC"/>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573C"/>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10114F"/>
    <w:rsid w:val="001019F6"/>
    <w:rsid w:val="00103144"/>
    <w:rsid w:val="00105E8F"/>
    <w:rsid w:val="0010687A"/>
    <w:rsid w:val="00112F90"/>
    <w:rsid w:val="0011434E"/>
    <w:rsid w:val="00124265"/>
    <w:rsid w:val="00124A9A"/>
    <w:rsid w:val="00126E0F"/>
    <w:rsid w:val="0013044A"/>
    <w:rsid w:val="0013056F"/>
    <w:rsid w:val="0013069E"/>
    <w:rsid w:val="00131AD7"/>
    <w:rsid w:val="0013403B"/>
    <w:rsid w:val="00134809"/>
    <w:rsid w:val="001416CC"/>
    <w:rsid w:val="00142AF8"/>
    <w:rsid w:val="00153EED"/>
    <w:rsid w:val="00155FDD"/>
    <w:rsid w:val="00157225"/>
    <w:rsid w:val="00162D71"/>
    <w:rsid w:val="00162E8E"/>
    <w:rsid w:val="00163651"/>
    <w:rsid w:val="0016451D"/>
    <w:rsid w:val="00164B5C"/>
    <w:rsid w:val="00164C34"/>
    <w:rsid w:val="00165C51"/>
    <w:rsid w:val="001663D4"/>
    <w:rsid w:val="0016778F"/>
    <w:rsid w:val="00172619"/>
    <w:rsid w:val="001728A9"/>
    <w:rsid w:val="00173A0D"/>
    <w:rsid w:val="00173D81"/>
    <w:rsid w:val="00175EF9"/>
    <w:rsid w:val="00176BAB"/>
    <w:rsid w:val="00176BE5"/>
    <w:rsid w:val="00182E20"/>
    <w:rsid w:val="00182F64"/>
    <w:rsid w:val="00183B12"/>
    <w:rsid w:val="001840C1"/>
    <w:rsid w:val="00184EDB"/>
    <w:rsid w:val="001904AE"/>
    <w:rsid w:val="00191527"/>
    <w:rsid w:val="00191934"/>
    <w:rsid w:val="001919F1"/>
    <w:rsid w:val="00191BE4"/>
    <w:rsid w:val="0019570E"/>
    <w:rsid w:val="0019641B"/>
    <w:rsid w:val="001A23E2"/>
    <w:rsid w:val="001A50B0"/>
    <w:rsid w:val="001A798F"/>
    <w:rsid w:val="001B7A70"/>
    <w:rsid w:val="001C15E1"/>
    <w:rsid w:val="001C19CD"/>
    <w:rsid w:val="001D6CE4"/>
    <w:rsid w:val="001E3013"/>
    <w:rsid w:val="001E40EF"/>
    <w:rsid w:val="001E4699"/>
    <w:rsid w:val="001E7063"/>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0640"/>
    <w:rsid w:val="002D5004"/>
    <w:rsid w:val="002D6EAE"/>
    <w:rsid w:val="002D7C93"/>
    <w:rsid w:val="002E35D5"/>
    <w:rsid w:val="002E38A9"/>
    <w:rsid w:val="002E55BC"/>
    <w:rsid w:val="002E5D92"/>
    <w:rsid w:val="002E5DCF"/>
    <w:rsid w:val="002F45C4"/>
    <w:rsid w:val="002F6FBE"/>
    <w:rsid w:val="002F7B24"/>
    <w:rsid w:val="002F7D84"/>
    <w:rsid w:val="003004E2"/>
    <w:rsid w:val="00301FF5"/>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107"/>
    <w:rsid w:val="00333C9C"/>
    <w:rsid w:val="00333FC8"/>
    <w:rsid w:val="00340489"/>
    <w:rsid w:val="00350911"/>
    <w:rsid w:val="00350DEE"/>
    <w:rsid w:val="00351FFC"/>
    <w:rsid w:val="00352B33"/>
    <w:rsid w:val="00353BEC"/>
    <w:rsid w:val="00353CA5"/>
    <w:rsid w:val="0035544D"/>
    <w:rsid w:val="00362A6F"/>
    <w:rsid w:val="00362B04"/>
    <w:rsid w:val="00363C18"/>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18E6"/>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911"/>
    <w:rsid w:val="00402C2F"/>
    <w:rsid w:val="004053C4"/>
    <w:rsid w:val="004059A1"/>
    <w:rsid w:val="00405CE1"/>
    <w:rsid w:val="00411648"/>
    <w:rsid w:val="00411E75"/>
    <w:rsid w:val="004141BB"/>
    <w:rsid w:val="004159D6"/>
    <w:rsid w:val="00416215"/>
    <w:rsid w:val="0042085B"/>
    <w:rsid w:val="00421DD4"/>
    <w:rsid w:val="00423008"/>
    <w:rsid w:val="00423C12"/>
    <w:rsid w:val="00423FC4"/>
    <w:rsid w:val="00425CA5"/>
    <w:rsid w:val="00436729"/>
    <w:rsid w:val="00440630"/>
    <w:rsid w:val="0044088C"/>
    <w:rsid w:val="00440981"/>
    <w:rsid w:val="00440A98"/>
    <w:rsid w:val="004435BB"/>
    <w:rsid w:val="00445FD5"/>
    <w:rsid w:val="00446439"/>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5E5D"/>
    <w:rsid w:val="004A6BED"/>
    <w:rsid w:val="004A7D3C"/>
    <w:rsid w:val="004B07E1"/>
    <w:rsid w:val="004B12AD"/>
    <w:rsid w:val="004B1AE8"/>
    <w:rsid w:val="004B7672"/>
    <w:rsid w:val="004C04A6"/>
    <w:rsid w:val="004C0B2C"/>
    <w:rsid w:val="004C1956"/>
    <w:rsid w:val="004C1D6E"/>
    <w:rsid w:val="004C30F5"/>
    <w:rsid w:val="004C4985"/>
    <w:rsid w:val="004C4AAD"/>
    <w:rsid w:val="004C5F65"/>
    <w:rsid w:val="004D1805"/>
    <w:rsid w:val="004D2087"/>
    <w:rsid w:val="004D268B"/>
    <w:rsid w:val="004D3739"/>
    <w:rsid w:val="004D4572"/>
    <w:rsid w:val="004E2ABD"/>
    <w:rsid w:val="004E3E66"/>
    <w:rsid w:val="004E4356"/>
    <w:rsid w:val="004E4FDF"/>
    <w:rsid w:val="004E795C"/>
    <w:rsid w:val="004F4413"/>
    <w:rsid w:val="004F672C"/>
    <w:rsid w:val="00504855"/>
    <w:rsid w:val="005057FC"/>
    <w:rsid w:val="00505D8B"/>
    <w:rsid w:val="00507432"/>
    <w:rsid w:val="00514D9B"/>
    <w:rsid w:val="005165E9"/>
    <w:rsid w:val="005240CB"/>
    <w:rsid w:val="00524AB6"/>
    <w:rsid w:val="00530B31"/>
    <w:rsid w:val="005347B6"/>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66EF3"/>
    <w:rsid w:val="00567870"/>
    <w:rsid w:val="005701A9"/>
    <w:rsid w:val="00570A3E"/>
    <w:rsid w:val="00570FEC"/>
    <w:rsid w:val="0057301A"/>
    <w:rsid w:val="005776E5"/>
    <w:rsid w:val="00583F0F"/>
    <w:rsid w:val="00585B4E"/>
    <w:rsid w:val="00586BD0"/>
    <w:rsid w:val="005900EF"/>
    <w:rsid w:val="00590891"/>
    <w:rsid w:val="00593F13"/>
    <w:rsid w:val="00594C88"/>
    <w:rsid w:val="0059697C"/>
    <w:rsid w:val="005A1400"/>
    <w:rsid w:val="005A2B71"/>
    <w:rsid w:val="005A5AEB"/>
    <w:rsid w:val="005B6E01"/>
    <w:rsid w:val="005C0917"/>
    <w:rsid w:val="005C38DA"/>
    <w:rsid w:val="005C75D3"/>
    <w:rsid w:val="005D1CCC"/>
    <w:rsid w:val="005D3A5A"/>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286A"/>
    <w:rsid w:val="006536C8"/>
    <w:rsid w:val="006555F0"/>
    <w:rsid w:val="00655A81"/>
    <w:rsid w:val="00661450"/>
    <w:rsid w:val="00662912"/>
    <w:rsid w:val="00663FDC"/>
    <w:rsid w:val="006653A4"/>
    <w:rsid w:val="006670CC"/>
    <w:rsid w:val="006676C9"/>
    <w:rsid w:val="006678D2"/>
    <w:rsid w:val="0067212E"/>
    <w:rsid w:val="006740A5"/>
    <w:rsid w:val="00674811"/>
    <w:rsid w:val="00675015"/>
    <w:rsid w:val="00683BCE"/>
    <w:rsid w:val="00690695"/>
    <w:rsid w:val="0069162F"/>
    <w:rsid w:val="00693864"/>
    <w:rsid w:val="00694FA3"/>
    <w:rsid w:val="0069645E"/>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090C"/>
    <w:rsid w:val="00701887"/>
    <w:rsid w:val="00701A5B"/>
    <w:rsid w:val="00704150"/>
    <w:rsid w:val="007064F4"/>
    <w:rsid w:val="00715110"/>
    <w:rsid w:val="00720252"/>
    <w:rsid w:val="0072224C"/>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85F74"/>
    <w:rsid w:val="0079383F"/>
    <w:rsid w:val="007A7A27"/>
    <w:rsid w:val="007C1BFF"/>
    <w:rsid w:val="007C2032"/>
    <w:rsid w:val="007C2B72"/>
    <w:rsid w:val="007D2A63"/>
    <w:rsid w:val="007D62B6"/>
    <w:rsid w:val="007D68E1"/>
    <w:rsid w:val="007E1DFC"/>
    <w:rsid w:val="007E31F1"/>
    <w:rsid w:val="007E5C60"/>
    <w:rsid w:val="007E704E"/>
    <w:rsid w:val="007F1F48"/>
    <w:rsid w:val="007F47BC"/>
    <w:rsid w:val="00801170"/>
    <w:rsid w:val="00802275"/>
    <w:rsid w:val="00805178"/>
    <w:rsid w:val="00805F81"/>
    <w:rsid w:val="00807515"/>
    <w:rsid w:val="00810B8F"/>
    <w:rsid w:val="00810D38"/>
    <w:rsid w:val="008116A1"/>
    <w:rsid w:val="008116BE"/>
    <w:rsid w:val="00820579"/>
    <w:rsid w:val="00825878"/>
    <w:rsid w:val="00825C75"/>
    <w:rsid w:val="00825E8A"/>
    <w:rsid w:val="00826A61"/>
    <w:rsid w:val="00827C59"/>
    <w:rsid w:val="00830BCB"/>
    <w:rsid w:val="00830E03"/>
    <w:rsid w:val="0083446A"/>
    <w:rsid w:val="008349BF"/>
    <w:rsid w:val="00835446"/>
    <w:rsid w:val="00836019"/>
    <w:rsid w:val="00840213"/>
    <w:rsid w:val="00844E1E"/>
    <w:rsid w:val="00845DF9"/>
    <w:rsid w:val="0084674C"/>
    <w:rsid w:val="0085034F"/>
    <w:rsid w:val="008513C0"/>
    <w:rsid w:val="00851F46"/>
    <w:rsid w:val="0085319E"/>
    <w:rsid w:val="0085474F"/>
    <w:rsid w:val="00856157"/>
    <w:rsid w:val="00861C77"/>
    <w:rsid w:val="0086351F"/>
    <w:rsid w:val="008647A0"/>
    <w:rsid w:val="00866DB1"/>
    <w:rsid w:val="0087020F"/>
    <w:rsid w:val="0087034B"/>
    <w:rsid w:val="0087157E"/>
    <w:rsid w:val="0087388A"/>
    <w:rsid w:val="00874DE5"/>
    <w:rsid w:val="00877253"/>
    <w:rsid w:val="00890D0E"/>
    <w:rsid w:val="00891F50"/>
    <w:rsid w:val="00892202"/>
    <w:rsid w:val="00892489"/>
    <w:rsid w:val="008939E8"/>
    <w:rsid w:val="008947ED"/>
    <w:rsid w:val="00896A1F"/>
    <w:rsid w:val="008A0D73"/>
    <w:rsid w:val="008A2CF0"/>
    <w:rsid w:val="008A4BF3"/>
    <w:rsid w:val="008B2916"/>
    <w:rsid w:val="008B420A"/>
    <w:rsid w:val="008B514E"/>
    <w:rsid w:val="008C35C4"/>
    <w:rsid w:val="008C75F1"/>
    <w:rsid w:val="008D2717"/>
    <w:rsid w:val="008D2B91"/>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20D2"/>
    <w:rsid w:val="00915A6F"/>
    <w:rsid w:val="00915C17"/>
    <w:rsid w:val="00917A11"/>
    <w:rsid w:val="0092264A"/>
    <w:rsid w:val="009236D3"/>
    <w:rsid w:val="00923CBA"/>
    <w:rsid w:val="00924FD5"/>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546B"/>
    <w:rsid w:val="00A0668F"/>
    <w:rsid w:val="00A135EA"/>
    <w:rsid w:val="00A1487A"/>
    <w:rsid w:val="00A154F7"/>
    <w:rsid w:val="00A16127"/>
    <w:rsid w:val="00A20104"/>
    <w:rsid w:val="00A2013B"/>
    <w:rsid w:val="00A20B96"/>
    <w:rsid w:val="00A24693"/>
    <w:rsid w:val="00A26AAF"/>
    <w:rsid w:val="00A26D40"/>
    <w:rsid w:val="00A30CE2"/>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4EFF"/>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E39D0"/>
    <w:rsid w:val="00BF4CA1"/>
    <w:rsid w:val="00C03CB8"/>
    <w:rsid w:val="00C04412"/>
    <w:rsid w:val="00C04C99"/>
    <w:rsid w:val="00C069AF"/>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0785"/>
    <w:rsid w:val="00C435FE"/>
    <w:rsid w:val="00C46DA2"/>
    <w:rsid w:val="00C50F1D"/>
    <w:rsid w:val="00C51A95"/>
    <w:rsid w:val="00C5285D"/>
    <w:rsid w:val="00C53E9A"/>
    <w:rsid w:val="00C54440"/>
    <w:rsid w:val="00C55AFA"/>
    <w:rsid w:val="00C55E3B"/>
    <w:rsid w:val="00C616EB"/>
    <w:rsid w:val="00C61EF9"/>
    <w:rsid w:val="00C64D7A"/>
    <w:rsid w:val="00C64E12"/>
    <w:rsid w:val="00C763B8"/>
    <w:rsid w:val="00C83B26"/>
    <w:rsid w:val="00C85B2C"/>
    <w:rsid w:val="00C85BA0"/>
    <w:rsid w:val="00C86184"/>
    <w:rsid w:val="00C86618"/>
    <w:rsid w:val="00C906BC"/>
    <w:rsid w:val="00C918E2"/>
    <w:rsid w:val="00C92305"/>
    <w:rsid w:val="00C93A47"/>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58A5"/>
    <w:rsid w:val="00CE6FE5"/>
    <w:rsid w:val="00CF23AB"/>
    <w:rsid w:val="00CF23DD"/>
    <w:rsid w:val="00CF43C5"/>
    <w:rsid w:val="00D001B3"/>
    <w:rsid w:val="00D07B47"/>
    <w:rsid w:val="00D10269"/>
    <w:rsid w:val="00D10E13"/>
    <w:rsid w:val="00D11550"/>
    <w:rsid w:val="00D11AB2"/>
    <w:rsid w:val="00D14553"/>
    <w:rsid w:val="00D14A51"/>
    <w:rsid w:val="00D21413"/>
    <w:rsid w:val="00D24116"/>
    <w:rsid w:val="00D24517"/>
    <w:rsid w:val="00D25B57"/>
    <w:rsid w:val="00D26024"/>
    <w:rsid w:val="00D333C2"/>
    <w:rsid w:val="00D33B95"/>
    <w:rsid w:val="00D33E8F"/>
    <w:rsid w:val="00D42639"/>
    <w:rsid w:val="00D437BA"/>
    <w:rsid w:val="00D441F2"/>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760CB"/>
    <w:rsid w:val="00D818D5"/>
    <w:rsid w:val="00D81D0B"/>
    <w:rsid w:val="00D81E2B"/>
    <w:rsid w:val="00D82DFF"/>
    <w:rsid w:val="00D9071E"/>
    <w:rsid w:val="00D9168A"/>
    <w:rsid w:val="00D9324A"/>
    <w:rsid w:val="00D942E6"/>
    <w:rsid w:val="00D942F7"/>
    <w:rsid w:val="00D972C0"/>
    <w:rsid w:val="00DA12A0"/>
    <w:rsid w:val="00DA2E27"/>
    <w:rsid w:val="00DA3E17"/>
    <w:rsid w:val="00DA49C8"/>
    <w:rsid w:val="00DA7C83"/>
    <w:rsid w:val="00DB0046"/>
    <w:rsid w:val="00DB0EB3"/>
    <w:rsid w:val="00DB2B94"/>
    <w:rsid w:val="00DB2F05"/>
    <w:rsid w:val="00DB6DEA"/>
    <w:rsid w:val="00DC27AC"/>
    <w:rsid w:val="00DC7FD8"/>
    <w:rsid w:val="00DD11A1"/>
    <w:rsid w:val="00DD1BFA"/>
    <w:rsid w:val="00DD3A5B"/>
    <w:rsid w:val="00DD67BC"/>
    <w:rsid w:val="00DD7A79"/>
    <w:rsid w:val="00DE142C"/>
    <w:rsid w:val="00DE67A4"/>
    <w:rsid w:val="00DF32C7"/>
    <w:rsid w:val="00DF4193"/>
    <w:rsid w:val="00DF4800"/>
    <w:rsid w:val="00DF62CC"/>
    <w:rsid w:val="00DF7688"/>
    <w:rsid w:val="00DF7C0A"/>
    <w:rsid w:val="00E010F3"/>
    <w:rsid w:val="00E052C8"/>
    <w:rsid w:val="00E06155"/>
    <w:rsid w:val="00E12090"/>
    <w:rsid w:val="00E13A68"/>
    <w:rsid w:val="00E219D8"/>
    <w:rsid w:val="00E22DF8"/>
    <w:rsid w:val="00E236A4"/>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931C6"/>
    <w:rsid w:val="00EA4AC7"/>
    <w:rsid w:val="00EA5BD5"/>
    <w:rsid w:val="00EA5D99"/>
    <w:rsid w:val="00EA6EAB"/>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4FC9"/>
    <w:rsid w:val="00EF59E8"/>
    <w:rsid w:val="00EF68A1"/>
    <w:rsid w:val="00EF68E4"/>
    <w:rsid w:val="00F03934"/>
    <w:rsid w:val="00F03B6B"/>
    <w:rsid w:val="00F04A05"/>
    <w:rsid w:val="00F11726"/>
    <w:rsid w:val="00F12787"/>
    <w:rsid w:val="00F1356F"/>
    <w:rsid w:val="00F137F6"/>
    <w:rsid w:val="00F1735E"/>
    <w:rsid w:val="00F2036E"/>
    <w:rsid w:val="00F2328A"/>
    <w:rsid w:val="00F2618A"/>
    <w:rsid w:val="00F2623D"/>
    <w:rsid w:val="00F2673C"/>
    <w:rsid w:val="00F31C9C"/>
    <w:rsid w:val="00F347E8"/>
    <w:rsid w:val="00F4265D"/>
    <w:rsid w:val="00F42F1F"/>
    <w:rsid w:val="00F453A8"/>
    <w:rsid w:val="00F4591D"/>
    <w:rsid w:val="00F50465"/>
    <w:rsid w:val="00F519D0"/>
    <w:rsid w:val="00F570A5"/>
    <w:rsid w:val="00F61ABE"/>
    <w:rsid w:val="00F63060"/>
    <w:rsid w:val="00F640D2"/>
    <w:rsid w:val="00F66277"/>
    <w:rsid w:val="00F71E7E"/>
    <w:rsid w:val="00F728DC"/>
    <w:rsid w:val="00F82249"/>
    <w:rsid w:val="00F82916"/>
    <w:rsid w:val="00F8313C"/>
    <w:rsid w:val="00F857F0"/>
    <w:rsid w:val="00F8777D"/>
    <w:rsid w:val="00F87A7A"/>
    <w:rsid w:val="00F93332"/>
    <w:rsid w:val="00F9409A"/>
    <w:rsid w:val="00F944B7"/>
    <w:rsid w:val="00FA353F"/>
    <w:rsid w:val="00FA3CDD"/>
    <w:rsid w:val="00FA494D"/>
    <w:rsid w:val="00FB0A0E"/>
    <w:rsid w:val="00FB4B1C"/>
    <w:rsid w:val="00FB6C1B"/>
    <w:rsid w:val="00FC0293"/>
    <w:rsid w:val="00FC70CE"/>
    <w:rsid w:val="00FD0751"/>
    <w:rsid w:val="00FD20A0"/>
    <w:rsid w:val="00FD2EE9"/>
    <w:rsid w:val="00FD424F"/>
    <w:rsid w:val="00FD493E"/>
    <w:rsid w:val="00FD6501"/>
    <w:rsid w:val="00FE18A5"/>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style="layout-flow:vertical"/>
    </o:shapedefaults>
    <o:shapelayout v:ext="edit">
      <o:idmap v:ext="edit" data="1"/>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customStyle="1" w:styleId="UnresolvedMention">
    <w:name w:val="Unresolved Mention"/>
    <w:basedOn w:val="DefaultParagraphFont"/>
    <w:uiPriority w:val="99"/>
    <w:semiHidden/>
    <w:unhideWhenUsed/>
    <w:rsid w:val="00747DF5"/>
    <w:rPr>
      <w:color w:val="605E5C"/>
      <w:shd w:val="clear" w:color="auto" w:fill="E1DFDD"/>
    </w:rPr>
  </w:style>
  <w:style w:type="paragraph" w:styleId="ListParagraph">
    <w:name w:val="List Paragraph"/>
    <w:basedOn w:val="Normal"/>
    <w:uiPriority w:val="34"/>
    <w:qFormat/>
    <w:rsid w:val="004F4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82146662">
      <w:bodyDiv w:val="1"/>
      <w:marLeft w:val="0"/>
      <w:marRight w:val="0"/>
      <w:marTop w:val="0"/>
      <w:marBottom w:val="0"/>
      <w:divBdr>
        <w:top w:val="none" w:sz="0" w:space="0" w:color="auto"/>
        <w:left w:val="none" w:sz="0" w:space="0" w:color="auto"/>
        <w:bottom w:val="none" w:sz="0" w:space="0" w:color="auto"/>
        <w:right w:val="none" w:sz="0" w:space="0" w:color="auto"/>
      </w:divBdr>
      <w:divsChild>
        <w:div w:id="187257051">
          <w:marLeft w:val="0"/>
          <w:marRight w:val="0"/>
          <w:marTop w:val="0"/>
          <w:marBottom w:val="0"/>
          <w:divBdr>
            <w:top w:val="none" w:sz="0" w:space="0" w:color="auto"/>
            <w:left w:val="none" w:sz="0" w:space="0" w:color="auto"/>
            <w:bottom w:val="none" w:sz="0" w:space="0" w:color="auto"/>
            <w:right w:val="none" w:sz="0" w:space="0" w:color="auto"/>
          </w:divBdr>
        </w:div>
      </w:divsChild>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38869837">
      <w:bodyDiv w:val="1"/>
      <w:marLeft w:val="0"/>
      <w:marRight w:val="0"/>
      <w:marTop w:val="0"/>
      <w:marBottom w:val="0"/>
      <w:divBdr>
        <w:top w:val="none" w:sz="0" w:space="0" w:color="auto"/>
        <w:left w:val="none" w:sz="0" w:space="0" w:color="auto"/>
        <w:bottom w:val="none" w:sz="0" w:space="0" w:color="auto"/>
        <w:right w:val="none" w:sz="0" w:space="0" w:color="auto"/>
      </w:divBdr>
      <w:divsChild>
        <w:div w:id="165286811">
          <w:marLeft w:val="0"/>
          <w:marRight w:val="0"/>
          <w:marTop w:val="0"/>
          <w:marBottom w:val="0"/>
          <w:divBdr>
            <w:top w:val="none" w:sz="0" w:space="0" w:color="auto"/>
            <w:left w:val="none" w:sz="0" w:space="0" w:color="auto"/>
            <w:bottom w:val="none" w:sz="0" w:space="0" w:color="auto"/>
            <w:right w:val="none" w:sz="0" w:space="0" w:color="auto"/>
          </w:divBdr>
        </w:div>
      </w:divsChild>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790127525">
      <w:bodyDiv w:val="1"/>
      <w:marLeft w:val="0"/>
      <w:marRight w:val="0"/>
      <w:marTop w:val="0"/>
      <w:marBottom w:val="0"/>
      <w:divBdr>
        <w:top w:val="none" w:sz="0" w:space="0" w:color="auto"/>
        <w:left w:val="none" w:sz="0" w:space="0" w:color="auto"/>
        <w:bottom w:val="none" w:sz="0" w:space="0" w:color="auto"/>
        <w:right w:val="none" w:sz="0" w:space="0" w:color="auto"/>
      </w:divBdr>
      <w:divsChild>
        <w:div w:id="1657302709">
          <w:marLeft w:val="0"/>
          <w:marRight w:val="0"/>
          <w:marTop w:val="0"/>
          <w:marBottom w:val="0"/>
          <w:divBdr>
            <w:top w:val="none" w:sz="0" w:space="0" w:color="auto"/>
            <w:left w:val="none" w:sz="0" w:space="0" w:color="auto"/>
            <w:bottom w:val="none" w:sz="0" w:space="0" w:color="auto"/>
            <w:right w:val="none" w:sz="0" w:space="0" w:color="auto"/>
          </w:divBdr>
        </w:div>
      </w:divsChild>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929001841">
      <w:bodyDiv w:val="1"/>
      <w:marLeft w:val="0"/>
      <w:marRight w:val="0"/>
      <w:marTop w:val="0"/>
      <w:marBottom w:val="0"/>
      <w:divBdr>
        <w:top w:val="none" w:sz="0" w:space="0" w:color="auto"/>
        <w:left w:val="none" w:sz="0" w:space="0" w:color="auto"/>
        <w:bottom w:val="none" w:sz="0" w:space="0" w:color="auto"/>
        <w:right w:val="none" w:sz="0" w:space="0" w:color="auto"/>
      </w:divBdr>
      <w:divsChild>
        <w:div w:id="1080370473">
          <w:marLeft w:val="0"/>
          <w:marRight w:val="0"/>
          <w:marTop w:val="0"/>
          <w:marBottom w:val="0"/>
          <w:divBdr>
            <w:top w:val="none" w:sz="0" w:space="0" w:color="auto"/>
            <w:left w:val="none" w:sz="0" w:space="0" w:color="auto"/>
            <w:bottom w:val="none" w:sz="0" w:space="0" w:color="auto"/>
            <w:right w:val="none" w:sz="0" w:space="0" w:color="auto"/>
          </w:divBdr>
        </w:div>
      </w:divsChild>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165510776">
      <w:bodyDiv w:val="1"/>
      <w:marLeft w:val="0"/>
      <w:marRight w:val="0"/>
      <w:marTop w:val="0"/>
      <w:marBottom w:val="0"/>
      <w:divBdr>
        <w:top w:val="none" w:sz="0" w:space="0" w:color="auto"/>
        <w:left w:val="none" w:sz="0" w:space="0" w:color="auto"/>
        <w:bottom w:val="none" w:sz="0" w:space="0" w:color="auto"/>
        <w:right w:val="none" w:sz="0" w:space="0" w:color="auto"/>
      </w:divBdr>
      <w:divsChild>
        <w:div w:id="664866195">
          <w:marLeft w:val="0"/>
          <w:marRight w:val="0"/>
          <w:marTop w:val="0"/>
          <w:marBottom w:val="0"/>
          <w:divBdr>
            <w:top w:val="none" w:sz="0" w:space="0" w:color="auto"/>
            <w:left w:val="none" w:sz="0" w:space="0" w:color="auto"/>
            <w:bottom w:val="none" w:sz="0" w:space="0" w:color="auto"/>
            <w:right w:val="none" w:sz="0" w:space="0" w:color="auto"/>
          </w:divBdr>
        </w:div>
      </w:divsChild>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515074506">
      <w:bodyDiv w:val="1"/>
      <w:marLeft w:val="0"/>
      <w:marRight w:val="0"/>
      <w:marTop w:val="0"/>
      <w:marBottom w:val="0"/>
      <w:divBdr>
        <w:top w:val="none" w:sz="0" w:space="0" w:color="auto"/>
        <w:left w:val="none" w:sz="0" w:space="0" w:color="auto"/>
        <w:bottom w:val="none" w:sz="0" w:space="0" w:color="auto"/>
        <w:right w:val="none" w:sz="0" w:space="0" w:color="auto"/>
      </w:divBdr>
      <w:divsChild>
        <w:div w:id="1747533000">
          <w:marLeft w:val="0"/>
          <w:marRight w:val="0"/>
          <w:marTop w:val="0"/>
          <w:marBottom w:val="0"/>
          <w:divBdr>
            <w:top w:val="none" w:sz="0" w:space="0" w:color="auto"/>
            <w:left w:val="none" w:sz="0" w:space="0" w:color="auto"/>
            <w:bottom w:val="none" w:sz="0" w:space="0" w:color="auto"/>
            <w:right w:val="none" w:sz="0" w:space="0" w:color="auto"/>
          </w:divBdr>
        </w:div>
      </w:divsChild>
    </w:div>
    <w:div w:id="1560097028">
      <w:bodyDiv w:val="1"/>
      <w:marLeft w:val="0"/>
      <w:marRight w:val="0"/>
      <w:marTop w:val="0"/>
      <w:marBottom w:val="0"/>
      <w:divBdr>
        <w:top w:val="none" w:sz="0" w:space="0" w:color="auto"/>
        <w:left w:val="none" w:sz="0" w:space="0" w:color="auto"/>
        <w:bottom w:val="none" w:sz="0" w:space="0" w:color="auto"/>
        <w:right w:val="none" w:sz="0" w:space="0" w:color="auto"/>
      </w:divBdr>
      <w:divsChild>
        <w:div w:id="2056545509">
          <w:marLeft w:val="0"/>
          <w:marRight w:val="0"/>
          <w:marTop w:val="0"/>
          <w:marBottom w:val="0"/>
          <w:divBdr>
            <w:top w:val="none" w:sz="0" w:space="0" w:color="auto"/>
            <w:left w:val="none" w:sz="0" w:space="0" w:color="auto"/>
            <w:bottom w:val="none" w:sz="0" w:space="0" w:color="auto"/>
            <w:right w:val="none" w:sz="0" w:space="0" w:color="auto"/>
          </w:divBdr>
        </w:div>
      </w:divsChild>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73085194">
      <w:bodyDiv w:val="1"/>
      <w:marLeft w:val="0"/>
      <w:marRight w:val="0"/>
      <w:marTop w:val="0"/>
      <w:marBottom w:val="0"/>
      <w:divBdr>
        <w:top w:val="none" w:sz="0" w:space="0" w:color="auto"/>
        <w:left w:val="none" w:sz="0" w:space="0" w:color="auto"/>
        <w:bottom w:val="none" w:sz="0" w:space="0" w:color="auto"/>
        <w:right w:val="none" w:sz="0" w:space="0" w:color="auto"/>
      </w:divBdr>
      <w:divsChild>
        <w:div w:id="1037586283">
          <w:marLeft w:val="0"/>
          <w:marRight w:val="0"/>
          <w:marTop w:val="0"/>
          <w:marBottom w:val="0"/>
          <w:divBdr>
            <w:top w:val="none" w:sz="0" w:space="0" w:color="auto"/>
            <w:left w:val="none" w:sz="0" w:space="0" w:color="auto"/>
            <w:bottom w:val="none" w:sz="0" w:space="0" w:color="auto"/>
            <w:right w:val="none" w:sz="0" w:space="0" w:color="auto"/>
          </w:divBdr>
        </w:div>
      </w:divsChild>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 w:id="2140418431">
      <w:bodyDiv w:val="1"/>
      <w:marLeft w:val="0"/>
      <w:marRight w:val="0"/>
      <w:marTop w:val="0"/>
      <w:marBottom w:val="0"/>
      <w:divBdr>
        <w:top w:val="none" w:sz="0" w:space="0" w:color="auto"/>
        <w:left w:val="none" w:sz="0" w:space="0" w:color="auto"/>
        <w:bottom w:val="none" w:sz="0" w:space="0" w:color="auto"/>
        <w:right w:val="none" w:sz="0" w:space="0" w:color="auto"/>
      </w:divBdr>
      <w:divsChild>
        <w:div w:id="15420938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EC1F1-5AA6-4A04-BC76-DD6246771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6</Pages>
  <Words>3677</Words>
  <Characters>20961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24589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A</cp:lastModifiedBy>
  <cp:revision>74</cp:revision>
  <cp:lastPrinted>2007-05-16T03:26:00Z</cp:lastPrinted>
  <dcterms:created xsi:type="dcterms:W3CDTF">2024-02-26T10:03:00Z</dcterms:created>
  <dcterms:modified xsi:type="dcterms:W3CDTF">2025-11-12T14:06:00Z</dcterms:modified>
</cp:coreProperties>
</file>