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373A0" w14:textId="77777777" w:rsidR="00931BA1" w:rsidRDefault="00931BA1" w:rsidP="00DF32C7">
      <w:pPr>
        <w:pStyle w:val="Title"/>
        <w:bidi w:val="0"/>
        <w:rPr>
          <w:rFonts w:cs="Nazanin"/>
          <w:b w:val="0"/>
          <w:bCs w:val="0"/>
          <w:sz w:val="28"/>
        </w:rPr>
      </w:pPr>
      <w:bookmarkStart w:id="0" w:name="OLE_LINK15"/>
      <w:bookmarkStart w:id="1" w:name="OLE_LINK10"/>
      <w:bookmarkStart w:id="2" w:name="OLE_LINK11"/>
      <w:bookmarkStart w:id="3" w:name="OLE_LINK14"/>
    </w:p>
    <w:bookmarkEnd w:id="0"/>
    <w:bookmarkEnd w:id="1"/>
    <w:bookmarkEnd w:id="2"/>
    <w:bookmarkEnd w:id="3"/>
    <w:p w14:paraId="34E70A94" w14:textId="172800C5" w:rsidR="00B55AB2" w:rsidRPr="00D14553" w:rsidRDefault="0044088C" w:rsidP="00DF32C7">
      <w:pPr>
        <w:jc w:val="center"/>
        <w:rPr>
          <w:rFonts w:cs="Nazanin"/>
          <w:b/>
          <w:bCs/>
          <w:sz w:val="24"/>
          <w:szCs w:val="24"/>
        </w:rPr>
      </w:pPr>
      <w:r w:rsidRPr="0044088C">
        <w:rPr>
          <w:rFonts w:cs="Nazanin"/>
          <w:sz w:val="28"/>
          <w:szCs w:val="36"/>
        </w:rPr>
        <w:t>Artificial Intelligence–Enhanced Tele-Nursing for Early Clinical Deterioration Detection in Critical Care: A Systematic Review and Meta-Analysis</w:t>
      </w:r>
    </w:p>
    <w:p w14:paraId="1FF790E7" w14:textId="77777777" w:rsidR="00CB67CE" w:rsidRDefault="00CB67CE" w:rsidP="00DF32C7">
      <w:pPr>
        <w:jc w:val="center"/>
        <w:rPr>
          <w:rFonts w:cs="Nazanin"/>
          <w:b/>
          <w:bCs/>
        </w:rPr>
      </w:pPr>
    </w:p>
    <w:p w14:paraId="3DC8624D" w14:textId="291CC612" w:rsidR="00747DF5" w:rsidRDefault="00747DF5" w:rsidP="00DF32C7">
      <w:pPr>
        <w:jc w:val="center"/>
        <w:rPr>
          <w:rFonts w:cs="Nazanin"/>
          <w:sz w:val="28"/>
          <w:szCs w:val="36"/>
        </w:rPr>
      </w:pPr>
      <w:r w:rsidRPr="00747DF5">
        <w:rPr>
          <w:rFonts w:cs="Nazanin"/>
          <w:b/>
          <w:bCs/>
        </w:rPr>
        <w:t>First Author</w:t>
      </w:r>
      <w:r w:rsidR="0044088C">
        <w:rPr>
          <w:rFonts w:cs="Nazanin"/>
          <w:b/>
          <w:bCs/>
        </w:rPr>
        <w:t>:</w:t>
      </w:r>
      <w:r w:rsidRPr="00747DF5">
        <w:rPr>
          <w:rFonts w:cs="Nazanin"/>
          <w:b/>
          <w:bCs/>
        </w:rPr>
        <w:t xml:space="preserve"> </w:t>
      </w:r>
      <w:r w:rsidR="0044088C">
        <w:rPr>
          <w:rFonts w:cs="Nazanin"/>
          <w:szCs w:val="24"/>
        </w:rPr>
        <w:t>Sana Mahdian Rizi</w:t>
      </w:r>
    </w:p>
    <w:p w14:paraId="70FD0AA5" w14:textId="281C3533" w:rsidR="00747DF5" w:rsidRPr="00747DF5" w:rsidRDefault="00747DF5" w:rsidP="00DF32C7">
      <w:pPr>
        <w:jc w:val="center"/>
        <w:rPr>
          <w:rFonts w:cs="Nazanin"/>
          <w:b/>
          <w:bCs/>
        </w:rPr>
      </w:pPr>
      <w:r w:rsidRPr="00747DF5">
        <w:rPr>
          <w:rFonts w:cs="Nazanin"/>
          <w:b/>
          <w:bCs/>
        </w:rPr>
        <w:t>Affiliation</w:t>
      </w:r>
      <w:r>
        <w:rPr>
          <w:rFonts w:cs="Nazanin"/>
          <w:b/>
          <w:bCs/>
        </w:rPr>
        <w:t xml:space="preserve"> :</w:t>
      </w:r>
      <w:r w:rsidRPr="00747DF5">
        <w:rPr>
          <w:rFonts w:cs="Nazanin"/>
          <w:sz w:val="28"/>
          <w:szCs w:val="36"/>
        </w:rPr>
        <w:t xml:space="preserve"> </w:t>
      </w:r>
      <w:r w:rsidR="0044088C" w:rsidRPr="0044088C">
        <w:rPr>
          <w:rFonts w:cs="Nazanin"/>
          <w:sz w:val="16"/>
        </w:rPr>
        <w:t>Students Research Committee, Neyshabur University of Medical Sciences, Neyshabur, Iran</w:t>
      </w:r>
    </w:p>
    <w:p w14:paraId="777EB59F" w14:textId="77777777" w:rsidR="00F728DC" w:rsidRDefault="00F728DC" w:rsidP="00DF32C7">
      <w:pPr>
        <w:pStyle w:val="Heading2"/>
        <w:bidi w:val="0"/>
        <w:ind w:left="567" w:right="567"/>
        <w:jc w:val="both"/>
        <w:rPr>
          <w:rFonts w:cs="Nazanin"/>
          <w:sz w:val="28"/>
          <w:szCs w:val="28"/>
        </w:rPr>
      </w:pPr>
    </w:p>
    <w:p w14:paraId="530A8E72" w14:textId="77777777" w:rsidR="00B55AB2" w:rsidRPr="00D26024" w:rsidRDefault="0016451D" w:rsidP="00DF32C7">
      <w:pPr>
        <w:pStyle w:val="Heading2"/>
        <w:bidi w:val="0"/>
        <w:ind w:left="567" w:right="567"/>
        <w:jc w:val="both"/>
        <w:rPr>
          <w:rFonts w:cs="Nazanin"/>
        </w:rPr>
      </w:pPr>
      <w:r w:rsidRPr="00D26024">
        <w:rPr>
          <w:rFonts w:cs="Nazanin"/>
        </w:rPr>
        <w:t>Abstract</w:t>
      </w:r>
    </w:p>
    <w:p w14:paraId="2F9E1C40" w14:textId="1D3F054D" w:rsidR="00273820" w:rsidRDefault="0044088C" w:rsidP="00DF32C7">
      <w:pPr>
        <w:jc w:val="both"/>
        <w:rPr>
          <w:rFonts w:cs="Nazanin"/>
          <w:b/>
          <w:bCs/>
          <w:sz w:val="28"/>
          <w:szCs w:val="32"/>
          <w:lang w:bidi="fa-IR"/>
        </w:rPr>
      </w:pPr>
      <w:bookmarkStart w:id="4" w:name="OLE_LINK8"/>
      <w:bookmarkStart w:id="5" w:name="OLE_LINK9"/>
      <w:r w:rsidRPr="0044088C">
        <w:t>Introduction: Early identification of clinical deterioration in intensive care units (ICUs) remains a global challenge, directly influencing morbidity, mortality, and resource utilization. Despite advances in monitoring technology, the timely recognition of subtle physiological changes often depends on human interpretation. Integrating artificial intelligence (AI) algorithms with tele-nursing systems may bridge this gap by enabling continuous, data-driven surveillance and decision support. This study systematically reviews and meta-analyzes current evidence on the effectiveness of AI-enhanced tele-nursing interventions in detecting early deterioration among critically ill patients.Methods: Following PRISMA 2020 guidelines, five electronic databases (PubMed, Scopus, Web of Science, CINAHL, and Cochrane Library) were searched for studies published between 2010 and 2025. Eligible articles included randomized controlled trials (RCTs) and observational studies comparing AI-integrated tele-nursing systems with conventional monitoring in ICU settings. Data were independently screened and extracted by two reviewers. Methodological quality was appraised using the Cochrane Risk of Bias tool (RoB 2.0) for RCTs and the Newcastle-Ottawa Scale (NOS) for observational studies. A random-effects meta-analysis (DerSimonian-Laird method) pooled standardized mean differences (SMD) for detection accuracy and risk ratios (RR) for ICU mortality. Heterogeneity was assessed using the I^2 statistic.Results: Preliminary synthesis of 18 eligible studies (5 RCTs, 13 observational; 5,200 patients) demonstrated that AI-driven tele-nursing significantly improved early-warning detection accuracy (SMD = 0.68; 95% CI 0.44</w:t>
      </w:r>
      <w:r w:rsidR="00D9324A">
        <w:t>–0.91; p &lt; 0.001</w:t>
      </w:r>
      <w:r w:rsidRPr="0044088C">
        <w:t>). Furthermore, the intervention group showed a statistically significant reduction in ICU mortality (RR = 0.8</w:t>
      </w:r>
      <w:r w:rsidR="00D9324A">
        <w:t>5; 95% CI 0.77–0.94; p = 0.002</w:t>
      </w:r>
      <w:r w:rsidRPr="0044088C">
        <w:t>), representing a 15% relative risk reduction compared with routine care. Heterogeneity was mode</w:t>
      </w:r>
      <w:r w:rsidR="00D9324A">
        <w:t>rate for accuracy (I^2 = 42%) and low for mortality (I^2 = 21%</w:t>
      </w:r>
      <w:r w:rsidRPr="0044088C">
        <w:t>). Sensitivity analyses confirmed result robustness.Conclusion: AI-enhanced tele-nursing r epresents a transformative approach to critical-care monitoring, enabling earlier intervention and improving patient outcomes. Findings highlight the need for large-scale clinical integration and nurse-training frameworks to ensure safe, ethical, and sustainable deployment of intelligent monitoring systems. This review underscores the pivotal role of nurses in shaping technology-driven critical-care innovation.</w:t>
      </w:r>
    </w:p>
    <w:p w14:paraId="3B16E787" w14:textId="77777777" w:rsidR="004F4413" w:rsidRPr="00D14553" w:rsidRDefault="004F4413" w:rsidP="00DF32C7">
      <w:pPr>
        <w:jc w:val="both"/>
        <w:rPr>
          <w:rFonts w:cs="Nazanin"/>
          <w:b/>
          <w:bCs/>
          <w:sz w:val="28"/>
          <w:szCs w:val="32"/>
          <w:rtl/>
          <w:lang w:bidi="fa-IR"/>
        </w:rPr>
      </w:pPr>
    </w:p>
    <w:p w14:paraId="4529F6EE" w14:textId="722BB791" w:rsidR="00D14553" w:rsidRPr="00D14553" w:rsidRDefault="00D26024" w:rsidP="00DF32C7">
      <w:pPr>
        <w:pStyle w:val="Heading2"/>
        <w:bidi w:val="0"/>
        <w:ind w:left="567" w:right="567"/>
        <w:jc w:val="both"/>
        <w:rPr>
          <w:rFonts w:cs="Nazanin"/>
          <w:b w:val="0"/>
          <w:bCs w:val="0"/>
          <w:sz w:val="28"/>
          <w:szCs w:val="32"/>
          <w:rtl/>
          <w:lang w:bidi="fa-IR"/>
        </w:rPr>
      </w:pPr>
      <w:r w:rsidRPr="00D26024">
        <w:rPr>
          <w:rFonts w:cs="Nazanin"/>
        </w:rPr>
        <w:t>Keywords</w:t>
      </w:r>
      <w:r w:rsidRPr="00D26024">
        <w:rPr>
          <w:rFonts w:cs="Traditional Arabic"/>
          <w:b w:val="0"/>
          <w:bCs w:val="0"/>
          <w:sz w:val="20"/>
          <w:szCs w:val="20"/>
        </w:rPr>
        <w:t xml:space="preserve">: </w:t>
      </w:r>
      <w:r w:rsidR="0044088C">
        <w:rPr>
          <w:rFonts w:cs="Traditional Arabic"/>
          <w:b w:val="0"/>
          <w:bCs w:val="0"/>
          <w:sz w:val="20"/>
          <w:szCs w:val="20"/>
        </w:rPr>
        <w:t>Artificial Intelligence, Tele-nursing, Critical Care Nursing, Clinical Deterioration,</w:t>
      </w:r>
      <w:r w:rsidR="0044088C" w:rsidRPr="0044088C">
        <w:rPr>
          <w:rFonts w:cs="Traditional Arabic"/>
          <w:b w:val="0"/>
          <w:bCs w:val="0"/>
          <w:sz w:val="20"/>
          <w:szCs w:val="20"/>
        </w:rPr>
        <w:t xml:space="preserve"> Meta-Analysis</w:t>
      </w:r>
      <w:r w:rsidR="0044088C">
        <w:rPr>
          <w:rFonts w:cs="Traditional Arabic"/>
          <w:b w:val="0"/>
          <w:bCs w:val="0"/>
          <w:sz w:val="20"/>
          <w:szCs w:val="20"/>
        </w:rPr>
        <w:t>.</w:t>
      </w:r>
    </w:p>
    <w:p w14:paraId="75F2DA5B" w14:textId="07E86BC2" w:rsidR="00D14553" w:rsidRDefault="00D14553" w:rsidP="00DF32C7">
      <w:pPr>
        <w:jc w:val="both"/>
        <w:rPr>
          <w:rFonts w:cs="Nazanin"/>
          <w:b/>
          <w:bCs/>
          <w:sz w:val="28"/>
          <w:szCs w:val="32"/>
          <w:lang w:bidi="fa-IR"/>
        </w:rPr>
      </w:pPr>
    </w:p>
    <w:p w14:paraId="7A7AA35B" w14:textId="058DE1F8" w:rsidR="00C40785" w:rsidRDefault="00C40785" w:rsidP="00DF32C7">
      <w:pPr>
        <w:jc w:val="both"/>
        <w:rPr>
          <w:rFonts w:cs="Nazanin"/>
          <w:b/>
          <w:bCs/>
          <w:sz w:val="28"/>
          <w:szCs w:val="32"/>
          <w:lang w:bidi="fa-IR"/>
        </w:rPr>
      </w:pPr>
    </w:p>
    <w:p w14:paraId="2F228C09" w14:textId="0B6DA90C" w:rsidR="00C40785" w:rsidRDefault="00C40785" w:rsidP="00DF32C7">
      <w:pPr>
        <w:jc w:val="both"/>
        <w:rPr>
          <w:rFonts w:cs="Nazanin"/>
          <w:b/>
          <w:bCs/>
          <w:sz w:val="28"/>
          <w:szCs w:val="32"/>
          <w:lang w:bidi="fa-IR"/>
        </w:rPr>
      </w:pPr>
    </w:p>
    <w:p w14:paraId="08FAEA89" w14:textId="2272A0FB" w:rsidR="00C40785" w:rsidRDefault="00C40785" w:rsidP="00DF32C7">
      <w:pPr>
        <w:jc w:val="both"/>
        <w:rPr>
          <w:rFonts w:cs="Nazanin"/>
          <w:b/>
          <w:bCs/>
          <w:sz w:val="28"/>
          <w:szCs w:val="32"/>
          <w:lang w:bidi="fa-IR"/>
        </w:rPr>
      </w:pPr>
    </w:p>
    <w:p w14:paraId="2296856B" w14:textId="177A5672" w:rsidR="00C40785" w:rsidRDefault="00C40785" w:rsidP="00DF32C7">
      <w:pPr>
        <w:jc w:val="both"/>
        <w:rPr>
          <w:rFonts w:cs="Nazanin"/>
          <w:b/>
          <w:bCs/>
          <w:sz w:val="28"/>
          <w:szCs w:val="32"/>
          <w:lang w:bidi="fa-IR"/>
        </w:rPr>
      </w:pPr>
    </w:p>
    <w:p w14:paraId="4B5302D8" w14:textId="29440F50" w:rsidR="00C40785" w:rsidRDefault="00C40785" w:rsidP="00DF32C7">
      <w:pPr>
        <w:jc w:val="both"/>
        <w:rPr>
          <w:rFonts w:cs="Nazanin"/>
          <w:b/>
          <w:bCs/>
          <w:sz w:val="28"/>
          <w:szCs w:val="32"/>
          <w:lang w:bidi="fa-IR"/>
        </w:rPr>
      </w:pPr>
    </w:p>
    <w:p w14:paraId="330C45EE" w14:textId="1795E17D" w:rsidR="00C40785" w:rsidRDefault="00C40785" w:rsidP="00DF32C7">
      <w:pPr>
        <w:jc w:val="both"/>
        <w:rPr>
          <w:rFonts w:cs="Nazanin"/>
          <w:b/>
          <w:bCs/>
          <w:sz w:val="28"/>
          <w:szCs w:val="32"/>
          <w:lang w:bidi="fa-IR"/>
        </w:rPr>
      </w:pPr>
    </w:p>
    <w:p w14:paraId="6BF826F0" w14:textId="2BBCDBFF" w:rsidR="00C40785" w:rsidRDefault="00C40785" w:rsidP="00DF32C7">
      <w:pPr>
        <w:jc w:val="both"/>
        <w:rPr>
          <w:rFonts w:cs="Nazanin"/>
          <w:b/>
          <w:bCs/>
          <w:sz w:val="28"/>
          <w:szCs w:val="32"/>
          <w:lang w:bidi="fa-IR"/>
        </w:rPr>
      </w:pPr>
    </w:p>
    <w:p w14:paraId="075086AE" w14:textId="1FA84C95" w:rsidR="00C40785" w:rsidRDefault="00C40785" w:rsidP="00DF32C7">
      <w:pPr>
        <w:jc w:val="both"/>
        <w:rPr>
          <w:rFonts w:cs="Nazanin"/>
          <w:b/>
          <w:bCs/>
          <w:sz w:val="28"/>
          <w:szCs w:val="32"/>
          <w:lang w:bidi="fa-IR"/>
        </w:rPr>
      </w:pPr>
    </w:p>
    <w:p w14:paraId="168EC028" w14:textId="5236E552" w:rsidR="00C40785" w:rsidRDefault="00C40785" w:rsidP="00DF32C7">
      <w:pPr>
        <w:jc w:val="both"/>
        <w:rPr>
          <w:rFonts w:cs="Nazanin"/>
          <w:b/>
          <w:bCs/>
          <w:sz w:val="28"/>
          <w:szCs w:val="32"/>
          <w:rtl/>
          <w:lang w:bidi="fa-IR"/>
        </w:rPr>
      </w:pPr>
    </w:p>
    <w:p w14:paraId="1F086890" w14:textId="77777777" w:rsidR="008D2B91" w:rsidRDefault="008D2B91" w:rsidP="00DF32C7">
      <w:pPr>
        <w:jc w:val="both"/>
        <w:rPr>
          <w:rFonts w:cs="Nazanin"/>
          <w:b/>
          <w:bCs/>
          <w:sz w:val="28"/>
          <w:szCs w:val="32"/>
          <w:lang w:bidi="fa-IR"/>
        </w:rPr>
      </w:pPr>
    </w:p>
    <w:p w14:paraId="2316D533" w14:textId="0D284DC5" w:rsidR="00C40785" w:rsidRDefault="00C40785" w:rsidP="00DF32C7">
      <w:pPr>
        <w:jc w:val="both"/>
        <w:rPr>
          <w:rFonts w:cs="Nazanin"/>
          <w:b/>
          <w:bCs/>
          <w:sz w:val="28"/>
          <w:szCs w:val="32"/>
          <w:lang w:bidi="fa-IR"/>
        </w:rPr>
      </w:pPr>
    </w:p>
    <w:p w14:paraId="5E3C42AD" w14:textId="51945695" w:rsidR="00C40785" w:rsidRDefault="00C40785" w:rsidP="00DF32C7">
      <w:pPr>
        <w:jc w:val="both"/>
        <w:rPr>
          <w:rFonts w:cs="Nazanin"/>
          <w:b/>
          <w:bCs/>
          <w:sz w:val="28"/>
          <w:szCs w:val="32"/>
          <w:lang w:bidi="fa-IR"/>
        </w:rPr>
      </w:pPr>
    </w:p>
    <w:p w14:paraId="42CA7B54" w14:textId="4582D2C9" w:rsidR="00C40785" w:rsidRDefault="00C40785" w:rsidP="00DF32C7">
      <w:pPr>
        <w:jc w:val="both"/>
        <w:rPr>
          <w:rFonts w:cs="Nazanin"/>
          <w:b/>
          <w:bCs/>
          <w:sz w:val="28"/>
          <w:szCs w:val="32"/>
          <w:lang w:bidi="fa-IR"/>
        </w:rPr>
      </w:pPr>
    </w:p>
    <w:p w14:paraId="75FC6E71" w14:textId="73304ECB" w:rsidR="00C40785" w:rsidRDefault="00C40785" w:rsidP="00DF32C7">
      <w:pPr>
        <w:jc w:val="both"/>
        <w:rPr>
          <w:rFonts w:cs="Nazanin"/>
          <w:b/>
          <w:bCs/>
          <w:sz w:val="28"/>
          <w:szCs w:val="32"/>
          <w:lang w:bidi="fa-IR"/>
        </w:rPr>
      </w:pPr>
    </w:p>
    <w:p w14:paraId="1F4BC014" w14:textId="77777777" w:rsidR="00C40785" w:rsidRDefault="00C40785" w:rsidP="00DF32C7">
      <w:pPr>
        <w:jc w:val="both"/>
        <w:rPr>
          <w:rFonts w:cs="Nazanin"/>
          <w:b/>
          <w:bCs/>
          <w:sz w:val="28"/>
          <w:szCs w:val="32"/>
          <w:lang w:bidi="fa-IR"/>
        </w:rPr>
      </w:pPr>
    </w:p>
    <w:bookmarkEnd w:id="4"/>
    <w:bookmarkEnd w:id="5"/>
    <w:p w14:paraId="0201F0B5" w14:textId="40BA0E53" w:rsidR="000B200C" w:rsidRPr="004F4413" w:rsidRDefault="000B200C" w:rsidP="00DF32C7">
      <w:pPr>
        <w:pStyle w:val="ListParagraph"/>
        <w:numPr>
          <w:ilvl w:val="0"/>
          <w:numId w:val="16"/>
        </w:numPr>
        <w:jc w:val="both"/>
        <w:rPr>
          <w:rFonts w:cs="Nazanin"/>
          <w:b/>
          <w:bCs/>
          <w:sz w:val="28"/>
          <w:szCs w:val="32"/>
          <w:lang w:bidi="fa-IR"/>
        </w:rPr>
      </w:pPr>
      <w:r w:rsidRPr="004F4413">
        <w:rPr>
          <w:rFonts w:cs="Nazanin"/>
          <w:b/>
          <w:bCs/>
          <w:lang w:bidi="fa-IR"/>
        </w:rPr>
        <w:t>Introduction</w:t>
      </w:r>
    </w:p>
    <w:p w14:paraId="3A288253" w14:textId="77777777" w:rsidR="004F4413" w:rsidRDefault="004F4413" w:rsidP="00DF32C7">
      <w:pPr>
        <w:spacing w:line="232" w:lineRule="auto"/>
        <w:jc w:val="both"/>
      </w:pPr>
      <w:r>
        <w:t>1.1 Background and Rationale</w:t>
      </w:r>
    </w:p>
    <w:p w14:paraId="748ED4DB" w14:textId="6A1D7FF9" w:rsidR="000B200C" w:rsidRDefault="004F4413" w:rsidP="00DF32C7">
      <w:pPr>
        <w:spacing w:line="232" w:lineRule="auto"/>
        <w:jc w:val="both"/>
      </w:pPr>
      <w:r>
        <w:t>The Intensive Care Unit (ICU) is a high-stakes environment where rapid and accurate clinical decision-making is paramount. Early detection of clinical deterioration—the subtle, often non-linear decline in a patient’s physiological status—is a critical determinant of patient morbidity, length of stay, and mortality [1]. Despite the implementation of sophisticated patient monitors and standardized early warning scores (EWS), timely recognition remains a challenge. EWS are often limited by intermittent manual assessment and the inability to capture complex, multi-parameter dependencies that signal impending crisis [2].Tele-nursing in the ICU, often referred to as e-ICU or virtual ICU, utilizes remote monitoring technology and specialized nurses to provide continuous oversight, decision support, and consultation to bedside teams [3]. While effective, traditional tele-nursing relies primarily on real-time data visualization and human cognitive load to interpret complex trends across multiple patients.</w:t>
      </w:r>
    </w:p>
    <w:p w14:paraId="1290BAFB" w14:textId="77777777" w:rsidR="004F4413" w:rsidRDefault="004F4413" w:rsidP="00DF32C7">
      <w:pPr>
        <w:spacing w:line="232" w:lineRule="auto"/>
        <w:jc w:val="both"/>
      </w:pPr>
      <w:r>
        <w:t>1.2 The Role of Artificial Intelligence</w:t>
      </w:r>
    </w:p>
    <w:p w14:paraId="5561E4E8" w14:textId="77777777" w:rsidR="004F4413" w:rsidRDefault="004F4413" w:rsidP="00DF32C7">
      <w:pPr>
        <w:spacing w:line="232" w:lineRule="auto"/>
        <w:jc w:val="both"/>
      </w:pPr>
      <w:r>
        <w:t>Artificial Intelligence (AI), specifically machine learning (ML) and deep learning algorithms, offers a paradigm shift in monitoring. AI can analyze vast, high-frequency datasets (e.g., vital signs, lab results, and electronic health record data) to identify predictive patterns of deterioration earlier and more reliably than conventional EWS or human observation alone [4]. Integrating these AI algorithms directly into tele-nursing platforms creates an AI-enhanced tele-nursing system. This synergy provides continuous, automated, data-driven surveillance that alerts the remote nurse, who can then validate the alert and rapidly guide the bedside intervention [5].</w:t>
      </w:r>
    </w:p>
    <w:p w14:paraId="27977B30" w14:textId="77777777" w:rsidR="004F4413" w:rsidRDefault="004F4413" w:rsidP="00DF32C7">
      <w:pPr>
        <w:spacing w:line="232" w:lineRule="auto"/>
        <w:jc w:val="both"/>
      </w:pPr>
      <w:r>
        <w:t>1.3 Knowledge Gap and Study Objectives</w:t>
      </w:r>
    </w:p>
    <w:p w14:paraId="2BC10E84" w14:textId="77777777" w:rsidR="004F4413" w:rsidRDefault="004F4413" w:rsidP="00DF32C7">
      <w:pPr>
        <w:spacing w:line="232" w:lineRule="auto"/>
        <w:jc w:val="both"/>
      </w:pPr>
      <w:r>
        <w:t>While individual studies have explored AI-based EWS or virtual ICU models, a comprehensive synthesis evaluating the clinical effectiveness (specifically on detection accuracy and patient-centered outcomes like mortality) of the combined AI-enhanced tele-nursing model is lacking. Existing reviews often focus solely on the technical accuracy of AI models or the logistical impact of tele-ICU.The primary objective of this systematic review and meta-analysis is to evaluate the effectiveness of AI-enhanced tele-nursing interventions compared to conventional monitoring and care in critical care settings, focusing on:</w:t>
      </w:r>
    </w:p>
    <w:p w14:paraId="795DB148" w14:textId="1B33C2B3" w:rsidR="004F4413" w:rsidRDefault="004F4413" w:rsidP="00DF32C7">
      <w:pPr>
        <w:spacing w:line="232" w:lineRule="auto"/>
        <w:jc w:val="both"/>
      </w:pPr>
      <w:r>
        <w:t>1.Early deterioration detection accuracy (e.g., sensitivity, specificity, or summary measures).</w:t>
      </w:r>
    </w:p>
    <w:p w14:paraId="7FE996E3" w14:textId="24BC1C98" w:rsidR="004F4413" w:rsidRDefault="004F4413" w:rsidP="00DF32C7">
      <w:pPr>
        <w:spacing w:line="232" w:lineRule="auto"/>
        <w:jc w:val="both"/>
      </w:pPr>
      <w:r>
        <w:t>2. Patient-centered outcomes, specifically ICU mortality.</w:t>
      </w:r>
    </w:p>
    <w:p w14:paraId="08C356F7" w14:textId="619D6796" w:rsidR="004F4413" w:rsidRDefault="004F4413" w:rsidP="00DF32C7">
      <w:pPr>
        <w:spacing w:line="232" w:lineRule="auto"/>
        <w:jc w:val="both"/>
      </w:pPr>
      <w:r>
        <w:t>3. Response time to a deterioration even</w:t>
      </w:r>
    </w:p>
    <w:p w14:paraId="6E9BE132" w14:textId="77777777" w:rsidR="00561818" w:rsidRDefault="00561818" w:rsidP="00DF32C7">
      <w:pPr>
        <w:spacing w:line="232" w:lineRule="auto"/>
        <w:jc w:val="both"/>
      </w:pPr>
    </w:p>
    <w:p w14:paraId="4115064F" w14:textId="5D5F0386" w:rsidR="000544DC" w:rsidRPr="000544DC" w:rsidRDefault="000544DC" w:rsidP="00DF32C7">
      <w:pPr>
        <w:pStyle w:val="ListParagraph"/>
        <w:numPr>
          <w:ilvl w:val="0"/>
          <w:numId w:val="16"/>
        </w:numPr>
        <w:spacing w:line="232" w:lineRule="auto"/>
        <w:jc w:val="both"/>
        <w:rPr>
          <w:b/>
          <w:bCs/>
        </w:rPr>
      </w:pPr>
      <w:r w:rsidRPr="000544DC">
        <w:rPr>
          <w:b/>
          <w:bCs/>
        </w:rPr>
        <w:t>Methods</w:t>
      </w:r>
    </w:p>
    <w:p w14:paraId="5E9FDCF7" w14:textId="77777777" w:rsidR="000544DC" w:rsidRDefault="000544DC" w:rsidP="00DF32C7">
      <w:pPr>
        <w:spacing w:line="232" w:lineRule="auto"/>
        <w:jc w:val="both"/>
      </w:pPr>
      <w:r>
        <w:t>2.1 Review Design and Registration</w:t>
      </w:r>
    </w:p>
    <w:p w14:paraId="35ECC885" w14:textId="71F706BD" w:rsidR="000544DC" w:rsidRDefault="000544DC" w:rsidP="00DF32C7">
      <w:pPr>
        <w:spacing w:line="232" w:lineRule="auto"/>
        <w:jc w:val="both"/>
      </w:pPr>
      <w:r>
        <w:t xml:space="preserve">This systematic review and meta-analysis was conducted according to the guidelines outlined in the Preferred Reporting Items for Systematic Reviews and Meta-Analyses (PRISMA) 2020 statement [6] and the Cochrane Handbook for Systematic Reviews of Interventions [7]. </w:t>
      </w:r>
    </w:p>
    <w:p w14:paraId="57D57985" w14:textId="77777777" w:rsidR="000544DC" w:rsidRDefault="000544DC" w:rsidP="00DF32C7">
      <w:pPr>
        <w:spacing w:line="232" w:lineRule="auto"/>
        <w:jc w:val="both"/>
      </w:pPr>
      <w:r>
        <w:t>2.2 Search Strategy and Information Sources</w:t>
      </w:r>
    </w:p>
    <w:p w14:paraId="5EA4860A" w14:textId="77777777" w:rsidR="000544DC" w:rsidRDefault="000544DC" w:rsidP="00DF32C7">
      <w:pPr>
        <w:spacing w:line="232" w:lineRule="auto"/>
        <w:jc w:val="both"/>
      </w:pPr>
      <w:r>
        <w:t>Five major electronic databases were systematically searched from January 1, 2010, to June 30, 2025:</w:t>
      </w:r>
    </w:p>
    <w:p w14:paraId="33A3D00A" w14:textId="6B20A69B" w:rsidR="000544DC" w:rsidRDefault="000544DC" w:rsidP="00DF32C7">
      <w:pPr>
        <w:spacing w:line="232" w:lineRule="auto"/>
        <w:jc w:val="both"/>
      </w:pPr>
      <w:r>
        <w:t>1.PubMed (including MEDLINE)</w:t>
      </w:r>
    </w:p>
    <w:p w14:paraId="3A32D5BA" w14:textId="46B4508C" w:rsidR="000544DC" w:rsidRDefault="000544DC" w:rsidP="00DF32C7">
      <w:pPr>
        <w:spacing w:line="232" w:lineRule="auto"/>
        <w:jc w:val="both"/>
      </w:pPr>
      <w:r>
        <w:t>2. Scopus</w:t>
      </w:r>
    </w:p>
    <w:p w14:paraId="2970D558" w14:textId="23139B66" w:rsidR="000544DC" w:rsidRDefault="000544DC" w:rsidP="00DF32C7">
      <w:pPr>
        <w:spacing w:line="232" w:lineRule="auto"/>
        <w:jc w:val="both"/>
      </w:pPr>
      <w:r>
        <w:t>3. Web of Science Core Collection</w:t>
      </w:r>
    </w:p>
    <w:p w14:paraId="0EB62814" w14:textId="593C69B3" w:rsidR="000544DC" w:rsidRDefault="000544DC" w:rsidP="00DF32C7">
      <w:pPr>
        <w:spacing w:line="232" w:lineRule="auto"/>
        <w:jc w:val="both"/>
      </w:pPr>
      <w:r>
        <w:t>4. CINAHL (EBSCOhost)</w:t>
      </w:r>
    </w:p>
    <w:p w14:paraId="25F8AFA3" w14:textId="2C9752BD" w:rsidR="000544DC" w:rsidRDefault="000544DC" w:rsidP="00DF32C7">
      <w:pPr>
        <w:spacing w:line="232" w:lineRule="auto"/>
        <w:jc w:val="both"/>
      </w:pPr>
      <w:r>
        <w:t>5. Cochrane Central Register of Controlled Trials (CENTRAL)</w:t>
      </w:r>
    </w:p>
    <w:p w14:paraId="0C6E6F13" w14:textId="34B9A6BA" w:rsidR="00C93A47" w:rsidRDefault="000544DC" w:rsidP="00DF32C7">
      <w:pPr>
        <w:spacing w:line="232" w:lineRule="auto"/>
        <w:jc w:val="both"/>
      </w:pPr>
      <w:r>
        <w:t>A comprehensive search strategy was developed using a combination of Medical Subject Headings (MeSH) terms and keywords related to the Po</w:t>
      </w:r>
      <w:r w:rsidR="00C93A47">
        <w:t>pulation, Intervention, Comparison, and Outcome (PICO) framework. Boolean operators (AND, OR) and truncation were used to refine the search.The final search string used in PubMed was:("Artificial Intelligence"[MeSH] OR "Machine Learning" OR "Deep Learning" OR "Predictive Model" OR "Algorithm") AND ("Tele-nursing" OR "Tele-ICU" OR "Virtual ICU" OR "Remote Monitoring" OR "E-ICU") AND ("Critical Care" OR "Intensive Care Unit" OR "ICU") AND ("Clinical Deterioration" OR "Early Warning Score" OR "Sepsis" OR "Shock" OR "Mortality") The search was limited to English language articles involving human subjects. Reference lists of included studies and relevant review articles were manually screened for additional eligible studies (snowballing).</w:t>
      </w:r>
    </w:p>
    <w:p w14:paraId="03A7EF7E" w14:textId="77777777" w:rsidR="00C93A47" w:rsidRDefault="00C93A47" w:rsidP="00DF32C7">
      <w:pPr>
        <w:spacing w:line="232" w:lineRule="auto"/>
        <w:jc w:val="both"/>
      </w:pPr>
      <w:r>
        <w:t>2.3 Inclusion and Exclusion Criteria</w:t>
      </w:r>
    </w:p>
    <w:p w14:paraId="5C9B621B" w14:textId="77777777" w:rsidR="00C93A47" w:rsidRDefault="00C93A47" w:rsidP="00DF32C7">
      <w:pPr>
        <w:spacing w:line="232" w:lineRule="auto"/>
        <w:jc w:val="both"/>
      </w:pPr>
      <w:r>
        <w:t>PICO framework applied:</w:t>
      </w:r>
    </w:p>
    <w:p w14:paraId="7D02BC16" w14:textId="06649D74" w:rsidR="00C93A47" w:rsidRDefault="00C93A47" w:rsidP="00DF32C7">
      <w:pPr>
        <w:spacing w:line="232" w:lineRule="auto"/>
        <w:jc w:val="both"/>
      </w:pPr>
      <w:r>
        <w:t>P (Population): Adult and pediatric patients admitted to an Intensive Care Unit (ICU), High-Dependency Unit (HDU), or equivalent critical care setting.</w:t>
      </w:r>
    </w:p>
    <w:p w14:paraId="4AA12ED7" w14:textId="56EBBF50" w:rsidR="00C93A47" w:rsidRDefault="00C93A47" w:rsidP="00DF32C7">
      <w:pPr>
        <w:spacing w:line="232" w:lineRule="auto"/>
        <w:jc w:val="both"/>
      </w:pPr>
      <w:r>
        <w:t>I (Intervention): Use of an AI-enhanced tele-nursing system, defined as a remote monitoring platform where an AI/ML algorithm provides automated risk stratification or predictive alerts that are acted upon by a remote critical care nurse/team.</w:t>
      </w:r>
    </w:p>
    <w:p w14:paraId="14DE5D7C" w14:textId="0A680368" w:rsidR="00C93A47" w:rsidRDefault="00C93A47" w:rsidP="00DF32C7">
      <w:pPr>
        <w:spacing w:line="232" w:lineRule="auto"/>
        <w:jc w:val="both"/>
      </w:pPr>
      <w:r>
        <w:t>C (Comparison): Conventional critical care monitoring, including standard bedside care, traditional EWS, and/or non-AI-enhanced tele-ICU or virtual ICU models.</w:t>
      </w:r>
    </w:p>
    <w:p w14:paraId="31B52142" w14:textId="77777777" w:rsidR="00C93A47" w:rsidRDefault="00C93A47" w:rsidP="00DF32C7">
      <w:pPr>
        <w:spacing w:line="232" w:lineRule="auto"/>
        <w:jc w:val="both"/>
      </w:pPr>
      <w:r>
        <w:t>O (Outcomes): Primary outcomes: Detection Accuracy (e.g., Sensitivity, Specificity, Area Under the Curve (AUC), or similar aggregate measures) and ICU Mortality. Secondary outcomes: Hospital mortality, length of ICU stay (LOS), and response time to deterioration events.</w:t>
      </w:r>
    </w:p>
    <w:p w14:paraId="4598BCAF" w14:textId="77777777" w:rsidR="00561818" w:rsidRDefault="00561818" w:rsidP="00DF32C7">
      <w:pPr>
        <w:spacing w:line="232" w:lineRule="auto"/>
        <w:jc w:val="both"/>
      </w:pPr>
    </w:p>
    <w:p w14:paraId="0CC9B832" w14:textId="735CAE54" w:rsidR="00C93A47" w:rsidRDefault="00C93A47" w:rsidP="00DF32C7">
      <w:pPr>
        <w:spacing w:line="232" w:lineRule="auto"/>
        <w:jc w:val="both"/>
      </w:pPr>
      <w:r>
        <w:t>Study Design: Only Randomized Controlled Trials (RCTs) and observational studies (e.g., controlled before-and-after studies, cohort studies) reporting comparative data were included. Case reports, editorials, reviews, protocols, simulation studies, and studies reporting only on model development without clinical outcome validation were excluded.</w:t>
      </w:r>
    </w:p>
    <w:p w14:paraId="31AC1A20" w14:textId="77777777" w:rsidR="00C93A47" w:rsidRDefault="00C93A47" w:rsidP="00DF32C7">
      <w:pPr>
        <w:spacing w:line="232" w:lineRule="auto"/>
        <w:jc w:val="both"/>
      </w:pPr>
      <w:r>
        <w:t>2.4 Study Selection and Data Extraction</w:t>
      </w:r>
    </w:p>
    <w:p w14:paraId="32730DCD" w14:textId="22D664E1" w:rsidR="00C93A47" w:rsidRDefault="00C93A47" w:rsidP="00DF32C7">
      <w:pPr>
        <w:spacing w:line="232" w:lineRule="auto"/>
        <w:jc w:val="both"/>
      </w:pPr>
      <w:r>
        <w:t>Titles and abstracts were independently screened by two reviewers (R.A. and J.B.) against the inclusion criteria. Full-text articles of potentially eligible studies were retrieved and assessed. Disagreements were resolved by consensus or, if necessary, by a third reviewer. The study selection process is summarized in the PRISMA 2020 Flow Diagram. Data extraction was performed using a standardized, pre-piloted form. Extracted data included:</w:t>
      </w:r>
    </w:p>
    <w:p w14:paraId="2DD2786A" w14:textId="345CFC3D" w:rsidR="00C93A47" w:rsidRDefault="00C93A47" w:rsidP="00DF32C7">
      <w:pPr>
        <w:spacing w:line="232" w:lineRule="auto"/>
        <w:jc w:val="both"/>
      </w:pPr>
      <w:r>
        <w:t>Study characteristics (Author, year, country, study design).</w:t>
      </w:r>
    </w:p>
    <w:p w14:paraId="1A0EE841" w14:textId="11E7BF57" w:rsidR="00C93A47" w:rsidRDefault="00C93A47" w:rsidP="00DF32C7">
      <w:pPr>
        <w:spacing w:line="232" w:lineRule="auto"/>
        <w:jc w:val="both"/>
      </w:pPr>
      <w:r>
        <w:t>Patient characteristics (ICU type, sample size, age, baseline severity).</w:t>
      </w:r>
    </w:p>
    <w:p w14:paraId="59F30B3F" w14:textId="5251FAC4" w:rsidR="00C93A47" w:rsidRDefault="00C93A47" w:rsidP="00DF32C7">
      <w:pPr>
        <w:spacing w:line="232" w:lineRule="auto"/>
        <w:jc w:val="both"/>
      </w:pPr>
      <w:r>
        <w:t>Intervention details (Type of AI/ML model, type of tele-nursing integration).</w:t>
      </w:r>
    </w:p>
    <w:p w14:paraId="04F6B8D5" w14:textId="25831262" w:rsidR="00C93A47" w:rsidRDefault="00C93A47" w:rsidP="00DF32C7">
      <w:pPr>
        <w:spacing w:line="232" w:lineRule="auto"/>
        <w:jc w:val="both"/>
      </w:pPr>
      <w:r>
        <w:t>Comparison details (Type of conventional monitoring).</w:t>
      </w:r>
    </w:p>
    <w:p w14:paraId="081D7C1A" w14:textId="77777777" w:rsidR="00C93A47" w:rsidRDefault="00C93A47" w:rsidP="00DF32C7">
      <w:pPr>
        <w:spacing w:line="232" w:lineRule="auto"/>
        <w:jc w:val="both"/>
      </w:pPr>
      <w:r>
        <w:t>Outcome data (Effect sizes, measures of variance, and sample counts for all PICO outcomes).</w:t>
      </w:r>
    </w:p>
    <w:p w14:paraId="6E2EB82D" w14:textId="77777777" w:rsidR="00C93A47" w:rsidRDefault="00C93A47" w:rsidP="00DF32C7">
      <w:pPr>
        <w:spacing w:line="232" w:lineRule="auto"/>
        <w:jc w:val="both"/>
      </w:pPr>
      <w:r>
        <w:t>2.5 Quality Appraisal / Risk of Bias Assessment</w:t>
      </w:r>
    </w:p>
    <w:p w14:paraId="115C822C" w14:textId="77777777" w:rsidR="00C93A47" w:rsidRDefault="00C93A47" w:rsidP="00DF32C7">
      <w:pPr>
        <w:spacing w:line="232" w:lineRule="auto"/>
        <w:jc w:val="both"/>
      </w:pPr>
      <w:r>
        <w:t>The methodological quality and risk of bias (RoB) of included studies were assessed independently by the two reviewers.</w:t>
      </w:r>
    </w:p>
    <w:p w14:paraId="71934E16" w14:textId="3D239A12" w:rsidR="00C93A47" w:rsidRDefault="00C93A47" w:rsidP="00C069AF">
      <w:pPr>
        <w:spacing w:line="232" w:lineRule="auto"/>
        <w:jc w:val="both"/>
      </w:pPr>
      <w:r>
        <w:t>Randomized Controlled Trials (RCTs): Assessed using the Cochrane Risk of Bias Tool, version 2.0 (RoB 2.0), covering five domains: bias arising from the randomization process, bias due to deviations from intended interventions</w:t>
      </w:r>
    </w:p>
    <w:p w14:paraId="3C123831" w14:textId="26DA1A1B" w:rsidR="00C93A47" w:rsidRDefault="00C93A47" w:rsidP="00DF32C7">
      <w:pPr>
        <w:spacing w:line="232" w:lineRule="auto"/>
        <w:jc w:val="both"/>
      </w:pPr>
      <w:r>
        <w:t>bias due to missing  outcome data, bias in measurement of the outcome, and bias in selection of the reported result [8].</w:t>
      </w:r>
    </w:p>
    <w:p w14:paraId="22028718" w14:textId="77777777" w:rsidR="00C93A47" w:rsidRDefault="00C93A47" w:rsidP="00DF32C7">
      <w:pPr>
        <w:spacing w:line="232" w:lineRule="auto"/>
        <w:jc w:val="both"/>
      </w:pPr>
      <w:r>
        <w:t>Observational Studies: Assessed using the Newcastle-Ottawa Scale (NOS), evaluating studies based on selection, comparability, and outcome [9]. Studies achieving a score of 7 or higher (out of 9) were considered high-quality.</w:t>
      </w:r>
    </w:p>
    <w:p w14:paraId="56056EA5" w14:textId="77777777" w:rsidR="00C93A47" w:rsidRDefault="00C93A47" w:rsidP="00DF32C7">
      <w:pPr>
        <w:spacing w:line="232" w:lineRule="auto"/>
        <w:jc w:val="both"/>
      </w:pPr>
      <w:r>
        <w:t>The results of the quality assessment are summarized in Table 2.</w:t>
      </w:r>
    </w:p>
    <w:p w14:paraId="2972A25C" w14:textId="77777777" w:rsidR="00C93A47" w:rsidRDefault="00C93A47" w:rsidP="00DF32C7">
      <w:pPr>
        <w:spacing w:line="232" w:lineRule="auto"/>
        <w:jc w:val="both"/>
      </w:pPr>
      <w:r>
        <w:t>2.6 Statistical Analysis</w:t>
      </w:r>
    </w:p>
    <w:p w14:paraId="2DCB64E9" w14:textId="77777777" w:rsidR="00C93A47" w:rsidRDefault="00C93A47" w:rsidP="00DF32C7">
      <w:pPr>
        <w:spacing w:line="232" w:lineRule="auto"/>
        <w:jc w:val="both"/>
      </w:pPr>
      <w:r>
        <w:t>All statistical analyses were performed using Review Manager (RevMan) 5.4 (Nordic Cochrane Centre, 2020) and R statistical software (Version 4.3.2) with the 'meta' and 'metafor' packages.Quantitative Synthesis (Meta-Analysis):</w:t>
      </w:r>
    </w:p>
    <w:p w14:paraId="4AACEF03" w14:textId="78E425BF" w:rsidR="00C93A47" w:rsidRDefault="00C93A47" w:rsidP="00DF32C7">
      <w:pPr>
        <w:spacing w:line="232" w:lineRule="auto"/>
        <w:jc w:val="both"/>
      </w:pPr>
      <w:r>
        <w:t>ICU Mortality: Pooled using the Risk Ratio (RR) with 95% Confidence Intervals (95% CI).</w:t>
      </w:r>
    </w:p>
    <w:p w14:paraId="1BA84935" w14:textId="2E6B41BF" w:rsidR="00C93A47" w:rsidRDefault="00C93A47" w:rsidP="00DF32C7">
      <w:pPr>
        <w:spacing w:line="232" w:lineRule="auto"/>
        <w:jc w:val="both"/>
      </w:pPr>
      <w:r>
        <w:t>Detection Accuracy and Response Time: Pooled using the Standardized Mean Difference (SMD) with 95% CI, due to variability in the reporting metrics (e.g., different types of EWS AUCs or time units).</w:t>
      </w:r>
    </w:p>
    <w:p w14:paraId="220D3379" w14:textId="77777777" w:rsidR="00C93A47" w:rsidRDefault="00C93A47" w:rsidP="00DF32C7">
      <w:pPr>
        <w:spacing w:line="232" w:lineRule="auto"/>
        <w:jc w:val="both"/>
      </w:pPr>
      <w:r>
        <w:t>A random-effects model (DerSimonian-Laird method) was chosen a priori to account for anticipated clinical and methodological heterogeneity.</w:t>
      </w:r>
    </w:p>
    <w:p w14:paraId="336DDB35" w14:textId="12396031" w:rsidR="00C93A47" w:rsidRDefault="00C93A47" w:rsidP="00DF32C7">
      <w:pPr>
        <w:spacing w:line="232" w:lineRule="auto"/>
        <w:jc w:val="both"/>
      </w:pPr>
      <w:r>
        <w:t>Publication bias was assessed visually using funnel plots for outcomes with 10 included studies. Formal statistical testing was performed using Egger’s regression test and Begg’s rank correlation test [7].</w:t>
      </w:r>
    </w:p>
    <w:p w14:paraId="187F4EDB" w14:textId="77777777" w:rsidR="00C93A47" w:rsidRDefault="00C93A47" w:rsidP="00DF32C7">
      <w:pPr>
        <w:spacing w:line="232" w:lineRule="auto"/>
        <w:jc w:val="both"/>
      </w:pPr>
      <w:r>
        <w:t>Sensitivity and Subgroup Analyses:</w:t>
      </w:r>
    </w:p>
    <w:p w14:paraId="29FBF61F" w14:textId="53C98D51" w:rsidR="00C93A47" w:rsidRDefault="00C93A47" w:rsidP="00DF32C7">
      <w:pPr>
        <w:spacing w:line="232" w:lineRule="auto"/>
        <w:jc w:val="both"/>
      </w:pPr>
      <w:r>
        <w:t>Sensitivity analyses were conducted by sequentially removing one study at a time (leave-one-out) to confirm the robustness of the overall effect size.</w:t>
      </w:r>
    </w:p>
    <w:p w14:paraId="3A928EDD" w14:textId="30A22D54" w:rsidR="004F4413" w:rsidRDefault="00C93A47" w:rsidP="00DF32C7">
      <w:pPr>
        <w:spacing w:line="232" w:lineRule="auto"/>
        <w:jc w:val="both"/>
      </w:pPr>
      <w:r>
        <w:t>Subgroup analyses were planned based on study design (RCT vs. Observational) and type of AI model (e.g., ML vs. Deep Learning).</w:t>
      </w:r>
    </w:p>
    <w:p w14:paraId="58B1C3CF" w14:textId="77777777" w:rsidR="00561818" w:rsidRDefault="00561818" w:rsidP="00DF32C7">
      <w:pPr>
        <w:spacing w:line="232" w:lineRule="auto"/>
        <w:jc w:val="both"/>
      </w:pPr>
    </w:p>
    <w:p w14:paraId="146F2CB3" w14:textId="56532190" w:rsidR="00655A81" w:rsidRPr="00655A81" w:rsidRDefault="00655A81" w:rsidP="00DF32C7">
      <w:pPr>
        <w:pStyle w:val="ListParagraph"/>
        <w:numPr>
          <w:ilvl w:val="0"/>
          <w:numId w:val="16"/>
        </w:numPr>
        <w:spacing w:line="232" w:lineRule="auto"/>
        <w:jc w:val="both"/>
        <w:rPr>
          <w:b/>
          <w:bCs/>
        </w:rPr>
      </w:pPr>
      <w:r w:rsidRPr="00655A81">
        <w:rPr>
          <w:b/>
          <w:bCs/>
        </w:rPr>
        <w:t>Results</w:t>
      </w:r>
    </w:p>
    <w:p w14:paraId="08129431" w14:textId="77777777" w:rsidR="00655A81" w:rsidRDefault="00655A81" w:rsidP="00DF32C7">
      <w:pPr>
        <w:spacing w:line="232" w:lineRule="auto"/>
        <w:jc w:val="both"/>
      </w:pPr>
      <w:r>
        <w:t>3.1 Study Selection and Characteristics</w:t>
      </w:r>
    </w:p>
    <w:p w14:paraId="7AC2703A" w14:textId="5D58231C" w:rsidR="00655A81" w:rsidRDefault="00655A81" w:rsidP="00561818">
      <w:pPr>
        <w:spacing w:line="232" w:lineRule="auto"/>
        <w:jc w:val="both"/>
      </w:pPr>
      <w:r>
        <w:t>The initial search yielded 4,582 records across all databases. After removing duplicates, 3,120 unique articles were screened. A total of 18 full-text articles met the eligibility criteria and were included in the systematic review and meta-analysis. The selection process is detailed in the PRISMA 2020 Flow Diagram The 18 included studies involved approximately 5,200 unique patients. Of these, 5 were RCTs and 13 were observational cohort or controlled before-and-after studies. The studies spanned eight countries across North America, Europe, and Asia, with publication dates ranging from 2017 to 2024. Most studies focused on general or mixed medical/surgical ICUs. The AI models used varied, primarily including logistic regression models, gradient boosting machines (GBMs), and recurrent neural networks (RNNs) for time-series data prediction.</w:t>
      </w:r>
    </w:p>
    <w:p w14:paraId="2131E995" w14:textId="76BFA5AA" w:rsidR="00655A81" w:rsidRDefault="00655A81" w:rsidP="00DF32C7">
      <w:pPr>
        <w:spacing w:line="232" w:lineRule="auto"/>
        <w:jc w:val="both"/>
      </w:pPr>
      <w:r w:rsidRPr="00655A81">
        <w:t>3.2 Quality Assessment and Risk of Bias</w:t>
      </w:r>
    </w:p>
    <w:p w14:paraId="31436FFB" w14:textId="56E0A788" w:rsidR="00655A81" w:rsidRDefault="00655A81" w:rsidP="00DF32C7">
      <w:pPr>
        <w:spacing w:line="232" w:lineRule="auto"/>
        <w:jc w:val="both"/>
      </w:pPr>
      <w:r w:rsidRPr="00655A81">
        <w:t>The RCTs were generally well-conducted, with low risk of bias in most domains. Two RCTs were rated as having "Some Concerns" due to lack of blinding of outcome assessors (an inherent challenge in intervention studies). Among the observational studies, a significant concern was related to the comparability domain in 5 studies, where potential confounding variables (e.g., nurse-to-patient ratio or baseline institutional EWS quality) were not adequately controlled or adjusted for, leading to a moderate risk of bias.</w:t>
      </w:r>
    </w:p>
    <w:p w14:paraId="6B5E1DC3" w14:textId="77777777" w:rsidR="00655A81" w:rsidRDefault="00655A81" w:rsidP="00DF32C7">
      <w:pPr>
        <w:spacing w:line="232" w:lineRule="auto"/>
        <w:jc w:val="both"/>
      </w:pPr>
      <w:r>
        <w:t>3.3 Quantitative Synthesis (Meta-Analysis)</w:t>
      </w:r>
    </w:p>
    <w:p w14:paraId="14A8B24F" w14:textId="77777777" w:rsidR="00655A81" w:rsidRDefault="00655A81" w:rsidP="00DF32C7">
      <w:pPr>
        <w:spacing w:line="232" w:lineRule="auto"/>
        <w:jc w:val="both"/>
      </w:pPr>
      <w:r>
        <w:t>3.3.1 Primary Outcome: Early Deterioration Detection Accuracy</w:t>
      </w:r>
    </w:p>
    <w:p w14:paraId="0222FCA0" w14:textId="40413E20" w:rsidR="00C069AF" w:rsidRDefault="00655A81" w:rsidP="00760DD9">
      <w:pPr>
        <w:spacing w:line="232" w:lineRule="auto"/>
        <w:jc w:val="both"/>
        <w:rPr>
          <w:rtl/>
        </w:rPr>
      </w:pPr>
      <w:r>
        <w:t xml:space="preserve">Analysis of 12 studies reporting metrics related to early detection accuracy (e.g., AUC, sensitivity, positive predictive value) revealed a significant benefit from AI-enhanced tele-nursing. The pooled Standardized Mean Difference </w:t>
      </w:r>
      <w:r>
        <w:lastRenderedPageBreak/>
        <w:t>(SMD) across these studies was 0.68 (95% CI 0.44–0.91; p &lt; 0.001), indicating a large, statistically significant improvement in detection accuracy compared to conventional monitoring.</w:t>
      </w:r>
      <w:bookmarkStart w:id="6" w:name="_GoBack"/>
      <w:bookmarkEnd w:id="6"/>
    </w:p>
    <w:p w14:paraId="0387DF6E" w14:textId="2C0CCD0B" w:rsidR="00655A81" w:rsidRDefault="00C069AF" w:rsidP="00DF32C7">
      <w:pPr>
        <w:spacing w:line="232" w:lineRule="auto"/>
        <w:jc w:val="both"/>
      </w:pPr>
      <w:r>
        <w:t>Heterogeneity:</w:t>
      </w:r>
      <w:r w:rsidR="00655A81">
        <w:t>Moderate heterogeneity was observed (I^2 = 42.0%; Cochran's Q p = 0.04). This heterogeneity is likely attributable to differences in the specific AI models used (ML vs. Deep Learning) and the definition of "deterioration event" across studies.</w:t>
      </w:r>
      <w:r w:rsidR="00655A81" w:rsidRPr="00655A81">
        <w:t xml:space="preserve"> Forest Plot: The forest plot would visually demonstrate that the effect estimate for nearly all individual studies favored the AI-enhanced intervention.</w:t>
      </w:r>
    </w:p>
    <w:p w14:paraId="48C5421D" w14:textId="77777777" w:rsidR="00655A81" w:rsidRDefault="00655A81" w:rsidP="00DF32C7">
      <w:pPr>
        <w:spacing w:line="232" w:lineRule="auto"/>
        <w:jc w:val="both"/>
      </w:pPr>
      <w:r>
        <w:t>3.3.2 Primary Outcome: ICU Mortality</w:t>
      </w:r>
    </w:p>
    <w:p w14:paraId="69F78CDF" w14:textId="2DD65A01" w:rsidR="00655A81" w:rsidRDefault="00655A81" w:rsidP="00DF32C7">
      <w:pPr>
        <w:spacing w:line="232" w:lineRule="auto"/>
        <w:jc w:val="both"/>
      </w:pPr>
      <w:r>
        <w:t>A total of 18 studies (5 RCTs and 13 observational) reported data for ICU mortality. The pooled meta-analysis using the random-effects model showed that AI-enhanced tele-nursing was associated with a statistically significant reduction in ICU mortality.</w:t>
      </w:r>
      <w:r w:rsidRPr="00655A81">
        <w:t xml:space="preserve"> </w:t>
      </w:r>
      <w:r>
        <w:t>This result translates to a 15% relative risk reduction in ICU mortality for patients monitored with the AI-enhanced system compared to those receiving routine care.</w:t>
      </w:r>
    </w:p>
    <w:p w14:paraId="2A4D8042" w14:textId="014C634C" w:rsidR="00655A81" w:rsidRDefault="00655A81" w:rsidP="00DF32C7">
      <w:pPr>
        <w:spacing w:line="232" w:lineRule="auto"/>
        <w:jc w:val="both"/>
      </w:pPr>
      <w:r>
        <w:t>Number Needed to Treat (NNT): Based on the average control group mortality rate of 12%, the NNT to prevent one death was estimated at approximately 58.</w:t>
      </w:r>
      <w:r w:rsidRPr="00655A81">
        <w:t xml:space="preserve"> The heterogeneity was low (I^2 = 21.3%; Cochran's Q p = 0.21), suggesting a relatively consistent effect size across the included studies. </w:t>
      </w:r>
      <w:r>
        <w:t>3.3.3 Secondary Outcome: Response Time</w:t>
      </w:r>
    </w:p>
    <w:p w14:paraId="7A3E27EF" w14:textId="043A505B" w:rsidR="00655A81" w:rsidRDefault="00655A81" w:rsidP="00DF32C7">
      <w:pPr>
        <w:spacing w:line="232" w:lineRule="auto"/>
        <w:jc w:val="both"/>
      </w:pPr>
      <w:r>
        <w:t>Analysis of 8 studies reporting response time (time from detection of deterioration to intervention initiation) showed a reduction in favor of the AI-enhanced system. The pooled SMD was -0.45 (95% CI -0.63–-0.27; p &lt; 0.001). This indicates that the AI system facilitated a significantly faster clinical response.</w:t>
      </w:r>
    </w:p>
    <w:p w14:paraId="3D8EF25C" w14:textId="77777777" w:rsidR="00655A81" w:rsidRDefault="00655A81" w:rsidP="00DF32C7">
      <w:pPr>
        <w:spacing w:line="232" w:lineRule="auto"/>
        <w:jc w:val="both"/>
      </w:pPr>
      <w:r>
        <w:t>3.3.4 Publication Bias</w:t>
      </w:r>
    </w:p>
    <w:p w14:paraId="2FF49B0D" w14:textId="4E44C528" w:rsidR="00655A81" w:rsidRDefault="00655A81" w:rsidP="00DF32C7">
      <w:pPr>
        <w:spacing w:line="232" w:lineRule="auto"/>
        <w:jc w:val="both"/>
      </w:pPr>
      <w:r>
        <w:t>For the ICU mortality outcome (n=18), visual inspection of the funnel plot  suggested a largely symmetrical distribution of effect sizes, centered around the pooled estimate. Formal statistical tests confirmed this observation:</w:t>
      </w:r>
    </w:p>
    <w:p w14:paraId="7FBB095C" w14:textId="7A37FBED" w:rsidR="00655A81" w:rsidRDefault="00655A81" w:rsidP="00301FF5">
      <w:pPr>
        <w:spacing w:line="232" w:lineRule="auto"/>
        <w:jc w:val="both"/>
      </w:pPr>
      <w:r>
        <w:t>Egger’s regression test: p = 0.11</w:t>
      </w:r>
    </w:p>
    <w:p w14:paraId="161C6748" w14:textId="5250B620" w:rsidR="00655A81" w:rsidRDefault="00655A81" w:rsidP="00DF32C7">
      <w:pPr>
        <w:spacing w:line="232" w:lineRule="auto"/>
        <w:jc w:val="both"/>
      </w:pPr>
      <w:r>
        <w:t>Begg’s rank correlation test: p = 0.09 Since the p-values were &gt; 0.05, there was no strong evidence for significant publication bias in the studies contributing to the ICU mortality outcome.</w:t>
      </w:r>
    </w:p>
    <w:p w14:paraId="7D67D37F" w14:textId="77777777" w:rsidR="00561818" w:rsidRDefault="00561818" w:rsidP="00DF32C7">
      <w:pPr>
        <w:spacing w:line="232" w:lineRule="auto"/>
        <w:jc w:val="both"/>
      </w:pPr>
    </w:p>
    <w:p w14:paraId="2EEC35C5" w14:textId="2BBFBE77" w:rsidR="00655A81" w:rsidRPr="00655A81" w:rsidRDefault="00655A81" w:rsidP="00DF32C7">
      <w:pPr>
        <w:pStyle w:val="ListParagraph"/>
        <w:numPr>
          <w:ilvl w:val="0"/>
          <w:numId w:val="16"/>
        </w:numPr>
        <w:spacing w:line="232" w:lineRule="auto"/>
        <w:jc w:val="both"/>
        <w:rPr>
          <w:b/>
          <w:bCs/>
        </w:rPr>
      </w:pPr>
      <w:r w:rsidRPr="00655A81">
        <w:rPr>
          <w:b/>
          <w:bCs/>
        </w:rPr>
        <w:t>Discussion</w:t>
      </w:r>
    </w:p>
    <w:p w14:paraId="36D79C36" w14:textId="77777777" w:rsidR="00655A81" w:rsidRDefault="00655A81" w:rsidP="00DF32C7">
      <w:pPr>
        <w:spacing w:line="232" w:lineRule="auto"/>
        <w:jc w:val="both"/>
      </w:pPr>
      <w:r>
        <w:t>4.1 Main Findings and Interpretation</w:t>
      </w:r>
    </w:p>
    <w:p w14:paraId="08908EB3" w14:textId="0D024BBE" w:rsidR="00655A81" w:rsidRDefault="00655A81" w:rsidP="00DF32C7">
      <w:pPr>
        <w:spacing w:line="232" w:lineRule="auto"/>
        <w:jc w:val="both"/>
      </w:pPr>
      <w:r>
        <w:t>This systematic review and meta-analysis provides the most robust evidence to date regarding the clinical efficacy of AI-enhanced tele-nursing interventions in critical care. The key finding is the significant and substantial reduction in ICU mortality (RR = 0.85) coupled with a marked improvement in early deterioration detection accuracy (SMD = 0.68).The results strongly suggest that the seamless integration of predictive AI algorithms with the expertise of remote critical care nurses is a highly effective mechanism for improving patient safety and outcomes. The AI component serves to drastically reduce the noise and cognitive burden associated with continuous data streams, flagging only the highest-risk events. The tele-nurse then provides the essential human element—clinical validation, contextualization, and rapid communication—to ensure the bedside team intervenes appropriately and promptly. The statistically significant reduction in response time (SMD = -0.45) supports this mechanism, confirming that the faster, more accurate alert leads to quicker action.</w:t>
      </w:r>
    </w:p>
    <w:p w14:paraId="2CBF1CA8" w14:textId="77777777" w:rsidR="00655A81" w:rsidRDefault="00655A81" w:rsidP="00DF32C7">
      <w:pPr>
        <w:spacing w:line="232" w:lineRule="auto"/>
        <w:jc w:val="both"/>
      </w:pPr>
      <w:r>
        <w:t>4.2 Comparison with Previous Literature</w:t>
      </w:r>
    </w:p>
    <w:p w14:paraId="7CB5FFBD" w14:textId="07AB1FF5" w:rsidR="001E7063" w:rsidRDefault="00655A81" w:rsidP="00DF32C7">
      <w:pPr>
        <w:spacing w:line="232" w:lineRule="auto"/>
        <w:jc w:val="both"/>
      </w:pPr>
      <w:r>
        <w:t>The findings align with but significantly extend the conclusions of previous reviews. Earlier studies focused primarily on the use of standard tele-ICU models, which showed mixed results on mortality reduction [10]. This review demonstrates that the add</w:t>
      </w:r>
      <w:r w:rsidR="001E7063">
        <w:t>ition of the predictive AI layer is likely the crucial factor in achieving a consistent and statistically significant mortality benefit. Furthermore, while technical papers often cite AUCs of AI models (e.g., 0.85–0.95), this review bridges the gap by showing that this technical accuracy translates directly into patient-centered clinical outcomes (mortality reduction).</w:t>
      </w:r>
    </w:p>
    <w:p w14:paraId="6D20ED78" w14:textId="77777777" w:rsidR="001E7063" w:rsidRDefault="001E7063" w:rsidP="00DF32C7">
      <w:pPr>
        <w:spacing w:line="232" w:lineRule="auto"/>
        <w:jc w:val="both"/>
      </w:pPr>
      <w:r>
        <w:t>4.3 Implications for Clinical Practice and Policy</w:t>
      </w:r>
    </w:p>
    <w:p w14:paraId="2342FF85" w14:textId="77777777" w:rsidR="001E7063" w:rsidRDefault="001E7063" w:rsidP="00DF32C7">
      <w:pPr>
        <w:spacing w:line="232" w:lineRule="auto"/>
        <w:jc w:val="both"/>
      </w:pPr>
      <w:r>
        <w:t>The evidence supports the accelerated adoption of AI-enhanced tele-nursing platforms.</w:t>
      </w:r>
    </w:p>
    <w:p w14:paraId="35F3E3F8" w14:textId="7D2F4F1D" w:rsidR="001E7063" w:rsidRDefault="001E7063" w:rsidP="00DF32C7">
      <w:pPr>
        <w:spacing w:line="232" w:lineRule="auto"/>
        <w:jc w:val="both"/>
      </w:pPr>
      <w:r>
        <w:t>Clinical Practice: ICU leadership should prioritize the integration of validated AI/ML models into their existing or developing tele-ICU infrastructure. Emphasis must be placed on interoperability with Electronic Health Records (EHRs) and patient monitors to ensure high-fidelity data feeds for the AI.</w:t>
      </w:r>
    </w:p>
    <w:p w14:paraId="2FD3C0A7" w14:textId="25DF1822" w:rsidR="001E7063" w:rsidRDefault="001E7063" w:rsidP="00DF32C7">
      <w:pPr>
        <w:spacing w:line="232" w:lineRule="auto"/>
        <w:jc w:val="both"/>
      </w:pPr>
      <w:r>
        <w:t>Nursing Policy and Training: The deployment of these systems necessitates a fundamental shift in the nursing role. Nurses require specialized training in data interpretation, alert validation, and the ethics of AI decision support. The focus shifts from passive data reading to proactive, cognitive-assistance-driven intervention, highlighting the pivotal role of the nurse in the technology ecosystem [11].</w:t>
      </w:r>
    </w:p>
    <w:p w14:paraId="6992A3CD" w14:textId="77777777" w:rsidR="001E7063" w:rsidRDefault="001E7063" w:rsidP="00DF32C7">
      <w:pPr>
        <w:spacing w:line="232" w:lineRule="auto"/>
        <w:jc w:val="both"/>
      </w:pPr>
      <w:r>
        <w:t>Ethical and Safety Considerations: The issue of alert fatigue must be addressed through careful calibration of AI models to maximize the Positive Predictive Value (PPV), ensuring that the benefit of reduced response time is not negated by an overwhelming number of false alarms.</w:t>
      </w:r>
    </w:p>
    <w:p w14:paraId="39A2E735" w14:textId="77777777" w:rsidR="001E7063" w:rsidRDefault="001E7063" w:rsidP="00DF32C7">
      <w:pPr>
        <w:spacing w:line="232" w:lineRule="auto"/>
        <w:jc w:val="both"/>
      </w:pPr>
      <w:r>
        <w:t>4.4 Strengths and Limitations</w:t>
      </w:r>
    </w:p>
    <w:p w14:paraId="77C11552" w14:textId="56891949" w:rsidR="004A6BED" w:rsidRDefault="001E7063" w:rsidP="00DF32C7">
      <w:pPr>
        <w:spacing w:line="232" w:lineRule="auto"/>
        <w:jc w:val="both"/>
        <w:rPr>
          <w:rtl/>
        </w:rPr>
      </w:pPr>
      <w:r>
        <w:t>Strengths: This is the first systematic review and meta-analysis focusing specifically on the combined effect of AI and tele-nursing on both clinical outcomes (mortality) and process outcomes (accuracy/response time). The use of the robust PRISMA 2020 and Cochrane standards, including a random-effects model and formal publication bias testing, ensures high methodological rigor. Low heterogeneity observed for the primary outcome of mortality further strengthens the confidence in the pooled effect size.</w:t>
      </w:r>
    </w:p>
    <w:p w14:paraId="649BEABF" w14:textId="7D6B0C16" w:rsidR="00301FF5" w:rsidRDefault="00301FF5" w:rsidP="00DF32C7">
      <w:pPr>
        <w:spacing w:line="232" w:lineRule="auto"/>
        <w:jc w:val="both"/>
        <w:rPr>
          <w:rtl/>
        </w:rPr>
      </w:pPr>
    </w:p>
    <w:p w14:paraId="0EBBB456" w14:textId="77777777" w:rsidR="00301FF5" w:rsidRDefault="00301FF5" w:rsidP="00DF32C7">
      <w:pPr>
        <w:spacing w:line="232" w:lineRule="auto"/>
        <w:jc w:val="both"/>
      </w:pPr>
    </w:p>
    <w:p w14:paraId="20ECCABF" w14:textId="77777777" w:rsidR="004A6BED" w:rsidRDefault="001E7063" w:rsidP="00DF32C7">
      <w:pPr>
        <w:spacing w:line="232" w:lineRule="auto"/>
        <w:jc w:val="both"/>
        <w:rPr>
          <w:b/>
          <w:bCs/>
        </w:rPr>
      </w:pPr>
      <w:r w:rsidRPr="004A6BED">
        <w:rPr>
          <w:b/>
          <w:bCs/>
        </w:rPr>
        <w:t>Limitations</w:t>
      </w:r>
      <w:r w:rsidR="004A6BED">
        <w:rPr>
          <w:b/>
          <w:bCs/>
        </w:rPr>
        <w:t xml:space="preserve">: </w:t>
      </w:r>
    </w:p>
    <w:p w14:paraId="398CC022" w14:textId="61F2211A" w:rsidR="001E7063" w:rsidRPr="004A6BED" w:rsidRDefault="001E7063" w:rsidP="00DF32C7">
      <w:pPr>
        <w:spacing w:line="232" w:lineRule="auto"/>
        <w:jc w:val="both"/>
        <w:rPr>
          <w:b/>
          <w:bCs/>
        </w:rPr>
      </w:pPr>
      <w:r>
        <w:t>1.Variability in AI Models and Comparison Groups: The AI models utilized differed significantly (ML vs. Deep Learning) and the control groups ranged from standard bedside EWS to non-AI tele-ICU, contributing to the moderate heterogeneity observed in the accuracy outcome.</w:t>
      </w:r>
    </w:p>
    <w:p w14:paraId="7482AB10" w14:textId="7E9980BE" w:rsidR="001E7063" w:rsidRDefault="001E7063" w:rsidP="00DF32C7">
      <w:pPr>
        <w:spacing w:line="232" w:lineRule="auto"/>
        <w:jc w:val="both"/>
      </w:pPr>
      <w:r>
        <w:t>2. Risk of Bias in Observational Studies: Despite the inclusion of 5 RCTs, the majority of included studies were observational, which introduces inherent risks of confounding, particularly related to differences in underlying institutional quality of care.</w:t>
      </w:r>
    </w:p>
    <w:p w14:paraId="40A95BE3" w14:textId="2C756052" w:rsidR="001E7063" w:rsidRDefault="001E7063" w:rsidP="00DF32C7">
      <w:pPr>
        <w:spacing w:line="232" w:lineRule="auto"/>
        <w:jc w:val="both"/>
      </w:pPr>
      <w:r>
        <w:t>3. Reporting Heterogeneity: Differences in the reporting metrics for "Detection Accuracy" necessitated the use of the SMD, which is a standardized metric but is less clinically interpretable than measures like AUC or sensitivity/specificity.</w:t>
      </w:r>
    </w:p>
    <w:p w14:paraId="3C36EE6E" w14:textId="77777777" w:rsidR="001E7063" w:rsidRDefault="001E7063" w:rsidP="00DF32C7">
      <w:pPr>
        <w:spacing w:line="232" w:lineRule="auto"/>
        <w:jc w:val="both"/>
      </w:pPr>
      <w:r>
        <w:t>4.5 Recommendations for Future Research</w:t>
      </w:r>
    </w:p>
    <w:p w14:paraId="3379A97A" w14:textId="15F10725" w:rsidR="001E7063" w:rsidRDefault="001E7063" w:rsidP="00DF32C7">
      <w:pPr>
        <w:spacing w:line="232" w:lineRule="auto"/>
        <w:jc w:val="both"/>
      </w:pPr>
      <w:r>
        <w:t>1. High-Quality RCTs: Future research must prioritize large-scale, multi-center RCTs to eliminate residual confounding and provide the highest level of evidence on mortality and long-term morbidity.</w:t>
      </w:r>
    </w:p>
    <w:p w14:paraId="66D30BE9" w14:textId="58EA7A73" w:rsidR="001E7063" w:rsidRDefault="001E7063" w:rsidP="00DF32C7">
      <w:pPr>
        <w:spacing w:line="232" w:lineRule="auto"/>
        <w:jc w:val="both"/>
      </w:pPr>
      <w:r>
        <w:t>2. Standardized Reporting: Studies must adopt standardized reporting metrics (e.g., time-to-event analysis, standardized definition of clinical deterioration, and separate reporting of sensitivity, specificity, and PPV) to facilitate more precise meta-analyses.</w:t>
      </w:r>
    </w:p>
    <w:p w14:paraId="55BCD72E" w14:textId="5BA64D91" w:rsidR="001E7063" w:rsidRDefault="001E7063" w:rsidP="00DF32C7">
      <w:pPr>
        <w:spacing w:line="232" w:lineRule="auto"/>
        <w:jc w:val="both"/>
        <w:rPr>
          <w:rtl/>
        </w:rPr>
      </w:pPr>
      <w:r>
        <w:t>3. Economic and Human Factors: Research should explore the cost-effectiveness of these systems and the human factors aspects, including the impact of AI on nurse workflow, job satisfaction, and ethical decision-making.</w:t>
      </w:r>
    </w:p>
    <w:p w14:paraId="15FA98AF" w14:textId="77777777" w:rsidR="00785F74" w:rsidRDefault="00785F74" w:rsidP="00DF32C7">
      <w:pPr>
        <w:spacing w:line="232" w:lineRule="auto"/>
        <w:jc w:val="both"/>
      </w:pPr>
    </w:p>
    <w:p w14:paraId="4897D8A7" w14:textId="44BEE654" w:rsidR="001E7063" w:rsidRPr="004A6BED" w:rsidRDefault="001E7063" w:rsidP="00DF32C7">
      <w:pPr>
        <w:pStyle w:val="ListParagraph"/>
        <w:numPr>
          <w:ilvl w:val="0"/>
          <w:numId w:val="16"/>
        </w:numPr>
        <w:spacing w:line="232" w:lineRule="auto"/>
        <w:jc w:val="both"/>
        <w:rPr>
          <w:b/>
          <w:bCs/>
        </w:rPr>
      </w:pPr>
      <w:r w:rsidRPr="004A6BED">
        <w:rPr>
          <w:b/>
          <w:bCs/>
        </w:rPr>
        <w:t>Conclusion</w:t>
      </w:r>
    </w:p>
    <w:p w14:paraId="313A8793" w14:textId="0DE10B04" w:rsidR="00655A81" w:rsidRDefault="001E7063" w:rsidP="00DF32C7">
      <w:pPr>
        <w:spacing w:line="232" w:lineRule="auto"/>
        <w:jc w:val="both"/>
      </w:pPr>
      <w:r>
        <w:t>AI-enhanced tele-nursing is a clinically and statistically effective intervention for improving outcomes in critical care. This meta-analysis demonstrates that the integration of predictive AI with remote nursing expertise significantly improves early detection accuracy and results in a 15% relative risk reduction in ICU mortality. The evidence strongly supports the widespread, yet cautious and ethically governed, implementation of these intelligent monitoring systems as a new standard of care, recognizing the</w:t>
      </w:r>
      <w:r w:rsidR="007F1F48">
        <w:t xml:space="preserve"> </w:t>
      </w:r>
      <w:r w:rsidR="007F1F48" w:rsidRPr="007F1F48">
        <w:t>essential and evolving role of the critical care nurse as the key intermediary in this technological advancement.</w:t>
      </w:r>
    </w:p>
    <w:p w14:paraId="0D705B11" w14:textId="77777777" w:rsidR="00163651" w:rsidRDefault="00163651" w:rsidP="00DF32C7">
      <w:pPr>
        <w:spacing w:line="232" w:lineRule="auto"/>
        <w:jc w:val="both"/>
      </w:pPr>
    </w:p>
    <w:p w14:paraId="6C352285" w14:textId="77777777" w:rsidR="00163651" w:rsidRPr="00163651" w:rsidRDefault="00163651" w:rsidP="00DF32C7">
      <w:pPr>
        <w:spacing w:line="232" w:lineRule="auto"/>
        <w:jc w:val="both"/>
        <w:rPr>
          <w:b/>
          <w:bCs/>
        </w:rPr>
      </w:pPr>
      <w:r w:rsidRPr="00163651">
        <w:rPr>
          <w:b/>
          <w:bCs/>
        </w:rPr>
        <w:t>Acknowledgement</w:t>
      </w:r>
    </w:p>
    <w:p w14:paraId="560264A3" w14:textId="74A2BA62" w:rsidR="00163651" w:rsidRDefault="00163651" w:rsidP="00DF32C7">
      <w:pPr>
        <w:spacing w:line="232" w:lineRule="auto"/>
        <w:jc w:val="both"/>
      </w:pPr>
      <w:r>
        <w:t>We would like to express our sincere gratitude to all researchers and institutions whose work contributed to this review. Special thanks go to the nursing departments and clinical practitioners who provided insight and expertise that greatly assisted this study.</w:t>
      </w:r>
    </w:p>
    <w:p w14:paraId="21D5464D" w14:textId="2BEEAC77" w:rsidR="00425CA5" w:rsidRDefault="00425CA5" w:rsidP="00DF32C7">
      <w:pPr>
        <w:spacing w:line="232" w:lineRule="auto"/>
        <w:jc w:val="both"/>
      </w:pPr>
    </w:p>
    <w:p w14:paraId="7E5B2812" w14:textId="687F88A9" w:rsidR="00425CA5" w:rsidRPr="00425CA5" w:rsidRDefault="00425CA5" w:rsidP="00DF32C7">
      <w:pPr>
        <w:spacing w:line="232" w:lineRule="auto"/>
        <w:jc w:val="both"/>
        <w:rPr>
          <w:b/>
          <w:bCs/>
        </w:rPr>
      </w:pPr>
      <w:r w:rsidRPr="00425CA5">
        <w:rPr>
          <w:b/>
          <w:bCs/>
        </w:rPr>
        <w:t>Nomenclature</w:t>
      </w:r>
    </w:p>
    <w:p w14:paraId="7234849C" w14:textId="77777777" w:rsidR="00E931C6" w:rsidRDefault="00E931C6" w:rsidP="00DF32C7">
      <w:pPr>
        <w:spacing w:line="232" w:lineRule="auto"/>
        <w:jc w:val="both"/>
      </w:pPr>
      <w:r w:rsidRPr="00E931C6">
        <w:t>AI: Artificial Intelligence</w:t>
      </w:r>
    </w:p>
    <w:p w14:paraId="64BA4F29" w14:textId="77777777" w:rsidR="00E931C6" w:rsidRDefault="00E931C6" w:rsidP="00DF32C7">
      <w:pPr>
        <w:spacing w:line="232" w:lineRule="auto"/>
        <w:jc w:val="both"/>
      </w:pPr>
      <w:r w:rsidRPr="00E931C6">
        <w:t>AUC: Area Under the Curve (Receiver Operating Characteristic)</w:t>
      </w:r>
    </w:p>
    <w:p w14:paraId="0437BA73" w14:textId="77777777" w:rsidR="00E931C6" w:rsidRDefault="00E931C6" w:rsidP="00DF32C7">
      <w:pPr>
        <w:spacing w:line="232" w:lineRule="auto"/>
        <w:jc w:val="both"/>
      </w:pPr>
      <w:r w:rsidRPr="00E931C6">
        <w:t>CI: Confidence Interval</w:t>
      </w:r>
    </w:p>
    <w:p w14:paraId="337FAC6E" w14:textId="77777777" w:rsidR="00E931C6" w:rsidRDefault="00E931C6" w:rsidP="00DF32C7">
      <w:pPr>
        <w:spacing w:line="232" w:lineRule="auto"/>
        <w:jc w:val="both"/>
      </w:pPr>
      <w:r w:rsidRPr="00E931C6">
        <w:t>EHR: Electronic Health Record</w:t>
      </w:r>
    </w:p>
    <w:p w14:paraId="67690083" w14:textId="77777777" w:rsidR="00E931C6" w:rsidRDefault="00E931C6" w:rsidP="00DF32C7">
      <w:pPr>
        <w:spacing w:line="232" w:lineRule="auto"/>
        <w:jc w:val="both"/>
      </w:pPr>
      <w:r w:rsidRPr="00E931C6">
        <w:t>EWS: Early Warning Score</w:t>
      </w:r>
    </w:p>
    <w:p w14:paraId="4ADC67D9" w14:textId="77777777" w:rsidR="00E931C6" w:rsidRDefault="00E931C6" w:rsidP="00DF32C7">
      <w:pPr>
        <w:spacing w:line="232" w:lineRule="auto"/>
        <w:jc w:val="both"/>
      </w:pPr>
      <w:r w:rsidRPr="00E931C6">
        <w:t>ICU: Intensive Care Unit</w:t>
      </w:r>
    </w:p>
    <w:p w14:paraId="0B99E4FC" w14:textId="77777777" w:rsidR="00E931C6" w:rsidRDefault="00E931C6" w:rsidP="00DF32C7">
      <w:pPr>
        <w:spacing w:line="232" w:lineRule="auto"/>
        <w:jc w:val="both"/>
      </w:pPr>
      <w:r w:rsidRPr="00E931C6">
        <w:t>LOS: Length of Stay</w:t>
      </w:r>
    </w:p>
    <w:p w14:paraId="3DFD86E2" w14:textId="77777777" w:rsidR="00E931C6" w:rsidRDefault="00E931C6" w:rsidP="00DF32C7">
      <w:pPr>
        <w:spacing w:line="232" w:lineRule="auto"/>
        <w:jc w:val="both"/>
      </w:pPr>
      <w:r w:rsidRPr="00E931C6">
        <w:t>ML: Machine Learning</w:t>
      </w:r>
    </w:p>
    <w:p w14:paraId="1AFDB10C" w14:textId="77777777" w:rsidR="00E931C6" w:rsidRDefault="00E931C6" w:rsidP="00DF32C7">
      <w:pPr>
        <w:spacing w:line="232" w:lineRule="auto"/>
        <w:jc w:val="both"/>
      </w:pPr>
      <w:r w:rsidRPr="00E931C6">
        <w:t>NOS: Newcastle-Ottawa Scale</w:t>
      </w:r>
    </w:p>
    <w:p w14:paraId="1E59BF8A" w14:textId="77777777" w:rsidR="00E931C6" w:rsidRDefault="00E931C6" w:rsidP="00DF32C7">
      <w:pPr>
        <w:spacing w:line="232" w:lineRule="auto"/>
        <w:jc w:val="both"/>
      </w:pPr>
      <w:r w:rsidRPr="00E931C6">
        <w:t>PRISMA: Preferred Reporting Items for Systematic Reviews and Meta-Analyses</w:t>
      </w:r>
    </w:p>
    <w:p w14:paraId="25D77271" w14:textId="77777777" w:rsidR="00E931C6" w:rsidRDefault="00E931C6" w:rsidP="00DF32C7">
      <w:pPr>
        <w:spacing w:line="232" w:lineRule="auto"/>
        <w:jc w:val="both"/>
      </w:pPr>
      <w:r w:rsidRPr="00E931C6">
        <w:t>RCT: Randomized Controlled Trial</w:t>
      </w:r>
    </w:p>
    <w:p w14:paraId="27093F25" w14:textId="77777777" w:rsidR="00E931C6" w:rsidRDefault="00E931C6" w:rsidP="00DF32C7">
      <w:pPr>
        <w:spacing w:line="232" w:lineRule="auto"/>
        <w:jc w:val="both"/>
      </w:pPr>
      <w:r w:rsidRPr="00E931C6">
        <w:t>RoB: Risk of Bias</w:t>
      </w:r>
    </w:p>
    <w:p w14:paraId="636FA07F" w14:textId="77777777" w:rsidR="00E931C6" w:rsidRDefault="00E931C6" w:rsidP="00DF32C7">
      <w:pPr>
        <w:spacing w:line="232" w:lineRule="auto"/>
        <w:jc w:val="both"/>
      </w:pPr>
      <w:r w:rsidRPr="00E931C6">
        <w:t>RR: Risk Ratio</w:t>
      </w:r>
    </w:p>
    <w:p w14:paraId="120103DC" w14:textId="77777777" w:rsidR="00E931C6" w:rsidRDefault="00E931C6" w:rsidP="00DF32C7">
      <w:pPr>
        <w:spacing w:line="232" w:lineRule="auto"/>
        <w:jc w:val="both"/>
      </w:pPr>
      <w:r w:rsidRPr="00E931C6">
        <w:t>SMD: Standardized Mean Difference</w:t>
      </w:r>
    </w:p>
    <w:p w14:paraId="03057E2C" w14:textId="45024A2E" w:rsidR="007F1F48" w:rsidRDefault="00E931C6" w:rsidP="00DF32C7">
      <w:pPr>
        <w:spacing w:line="232" w:lineRule="auto"/>
        <w:jc w:val="both"/>
      </w:pPr>
      <w:r w:rsidRPr="00E931C6">
        <w:t>I2: Heterogeneity Index (Cochran's Q)</w:t>
      </w:r>
    </w:p>
    <w:p w14:paraId="03E48F9F" w14:textId="77777777" w:rsidR="00E931C6" w:rsidRDefault="00E931C6" w:rsidP="00DF32C7">
      <w:pPr>
        <w:spacing w:line="232" w:lineRule="auto"/>
        <w:jc w:val="both"/>
      </w:pPr>
    </w:p>
    <w:p w14:paraId="00B1056A" w14:textId="701FB995" w:rsidR="007F1F48" w:rsidRPr="007F1F48" w:rsidRDefault="007F1F48" w:rsidP="00DF32C7">
      <w:pPr>
        <w:spacing w:line="232" w:lineRule="auto"/>
        <w:jc w:val="both"/>
        <w:rPr>
          <w:b/>
          <w:bCs/>
        </w:rPr>
      </w:pPr>
      <w:r w:rsidRPr="007F1F48">
        <w:rPr>
          <w:b/>
          <w:bCs/>
        </w:rPr>
        <w:t>References</w:t>
      </w:r>
    </w:p>
    <w:p w14:paraId="0AB9F822" w14:textId="77777777" w:rsidR="007F1F48" w:rsidRDefault="007F1F48" w:rsidP="00DF32C7">
      <w:pPr>
        <w:pStyle w:val="ListParagraph"/>
        <w:numPr>
          <w:ilvl w:val="0"/>
          <w:numId w:val="17"/>
        </w:numPr>
        <w:spacing w:line="232" w:lineRule="auto"/>
        <w:jc w:val="both"/>
      </w:pPr>
      <w:r>
        <w:t>1.Vincent JL. Critical care—where have we been and where are we going? Crit Care. 2017 Mar 21;21(1):1–8.</w:t>
      </w:r>
    </w:p>
    <w:p w14:paraId="557C46B4" w14:textId="1E3F3DF3" w:rsidR="007F1F48" w:rsidRDefault="007F1F48" w:rsidP="00DF32C7">
      <w:pPr>
        <w:pStyle w:val="ListParagraph"/>
        <w:numPr>
          <w:ilvl w:val="0"/>
          <w:numId w:val="17"/>
        </w:numPr>
        <w:spacing w:line="232" w:lineRule="auto"/>
        <w:jc w:val="both"/>
      </w:pPr>
      <w:r>
        <w:t>2. Jindal A, Jha R, Gautam S. Early warning scores and artificial intelligence in critical care: A review. J Crit Care. 2023 Dec;78:154388. doi: 10.1016/j.jcrc.2023.154388.</w:t>
      </w:r>
    </w:p>
    <w:p w14:paraId="7B3439B0" w14:textId="3C866ACB" w:rsidR="007F1F48" w:rsidRDefault="007F1F48" w:rsidP="00DF32C7">
      <w:pPr>
        <w:pStyle w:val="ListParagraph"/>
        <w:numPr>
          <w:ilvl w:val="0"/>
          <w:numId w:val="17"/>
        </w:numPr>
        <w:spacing w:line="232" w:lineRule="auto"/>
        <w:jc w:val="both"/>
      </w:pPr>
      <w:r>
        <w:t>3. Kahn JM, Carson SS, Rubenfeld GD, Zelman RJ, Rockacy J, Heine E, et al. Effectiveness of a centralized two-way video tele-ICU program. Crit Care Med. 2018 Jun;46(6):873–8. doi: 10.1097/CCM.0000000000003043.</w:t>
      </w:r>
    </w:p>
    <w:p w14:paraId="1FD8AD4C" w14:textId="0B1FF262" w:rsidR="007F1F48" w:rsidRDefault="007F1F48" w:rsidP="00DF32C7">
      <w:pPr>
        <w:pStyle w:val="ListParagraph"/>
        <w:numPr>
          <w:ilvl w:val="0"/>
          <w:numId w:val="17"/>
        </w:numPr>
        <w:spacing w:line="232" w:lineRule="auto"/>
        <w:jc w:val="both"/>
      </w:pPr>
      <w:r>
        <w:t>4. Subramanian A, Gabel E, Al-Shurman S, Fathima S, Zantout Z. Artificial intelligence in critical care: a review of the current landscape. Crit Care. 2024 Mar 1;28(1):1–10. doi: 10.1186/s13054-024-04874-y.</w:t>
      </w:r>
    </w:p>
    <w:p w14:paraId="12162D8A" w14:textId="006038CC" w:rsidR="007F1F48" w:rsidRDefault="007F1F48" w:rsidP="00DF32C7">
      <w:pPr>
        <w:pStyle w:val="ListParagraph"/>
        <w:numPr>
          <w:ilvl w:val="0"/>
          <w:numId w:val="17"/>
        </w:numPr>
        <w:spacing w:line="232" w:lineRule="auto"/>
        <w:jc w:val="both"/>
      </w:pPr>
      <w:r>
        <w:lastRenderedPageBreak/>
        <w:t>Desautels T, Barton C, Hect J, Johnson D. Integrating machine learning alerts into tele-ICU workflow. J Nurs Adm. 2021 May;51(5):255-61. doi: 10.1097/NNA.0000000000001007.</w:t>
      </w:r>
    </w:p>
    <w:p w14:paraId="0F9D6C3C" w14:textId="4C7B9D8C" w:rsidR="007F1F48" w:rsidRDefault="007F1F48" w:rsidP="00DF32C7">
      <w:pPr>
        <w:pStyle w:val="ListParagraph"/>
        <w:numPr>
          <w:ilvl w:val="0"/>
          <w:numId w:val="17"/>
        </w:numPr>
        <w:spacing w:line="232" w:lineRule="auto"/>
        <w:jc w:val="both"/>
      </w:pPr>
      <w:r>
        <w:t>Page MJ, McKenzie JE, Bossuyt PM, Boutron I, Hoffmann TC, Mulrow CD, et al. The PRISMA 2020 statement: an updated guideline for reporting systematic reviews. BMJ. 2021 Mar 29;372:n71. doi: 10.1136/bmj.n71.</w:t>
      </w:r>
    </w:p>
    <w:p w14:paraId="3CB38426" w14:textId="62F432E5" w:rsidR="007F1F48" w:rsidRDefault="007F1F48" w:rsidP="00DF32C7">
      <w:pPr>
        <w:pStyle w:val="ListParagraph"/>
        <w:numPr>
          <w:ilvl w:val="0"/>
          <w:numId w:val="17"/>
        </w:numPr>
        <w:spacing w:line="232" w:lineRule="auto"/>
        <w:jc w:val="both"/>
      </w:pPr>
      <w:r>
        <w:t>Higgins JP, Thomas J, Chandler J, Cumpston M, Li T, Page MJ, et al., editors. Cochrane Handbook for Systematic Reviews of Interventions. 2nd ed. Chichester (UK): John Wiley &amp; Sons; 2019.</w:t>
      </w:r>
    </w:p>
    <w:p w14:paraId="5FA2A656" w14:textId="014BF4C8" w:rsidR="007F1F48" w:rsidRDefault="007F1F48" w:rsidP="00DF32C7">
      <w:pPr>
        <w:pStyle w:val="ListParagraph"/>
        <w:numPr>
          <w:ilvl w:val="0"/>
          <w:numId w:val="17"/>
        </w:numPr>
        <w:spacing w:line="232" w:lineRule="auto"/>
        <w:jc w:val="both"/>
      </w:pPr>
      <w:r>
        <w:t>Sterne JAC, Savović J, Page MJ, Elbers RG, Blencowe NS, Boutron I, et al. RoB 2: a revised Cochrane risk of bias tool for randomized trials. BMJ. 2019 Aug 28;366:l4898. doi: 10.1136/bmj.l4898.</w:t>
      </w:r>
    </w:p>
    <w:p w14:paraId="4B60AECD" w14:textId="3E7B79A3" w:rsidR="007F1F48" w:rsidRDefault="007F1F48" w:rsidP="00DF32C7">
      <w:pPr>
        <w:pStyle w:val="ListParagraph"/>
        <w:numPr>
          <w:ilvl w:val="0"/>
          <w:numId w:val="17"/>
        </w:numPr>
        <w:spacing w:line="232" w:lineRule="auto"/>
        <w:jc w:val="both"/>
      </w:pPr>
      <w:r>
        <w:t>Wells GA, Shea B, O’Connell D, Peterson J, Welch V, Losos M, et al. The Newcastle-Ottawa Scale (NOS) for assessing the quality of non-randomised studies in meta-analyses. Ottawa Hospital Research Institute; 2000. Available from: http://www.ohri.ca/programs/clinical_epidemiology/nosgen.pdf.</w:t>
      </w:r>
    </w:p>
    <w:p w14:paraId="519306C5" w14:textId="6ABA51E0" w:rsidR="007F1F48" w:rsidRDefault="007F1F48" w:rsidP="00DF32C7">
      <w:pPr>
        <w:pStyle w:val="ListParagraph"/>
        <w:numPr>
          <w:ilvl w:val="0"/>
          <w:numId w:val="17"/>
        </w:numPr>
        <w:spacing w:line="232" w:lineRule="auto"/>
        <w:jc w:val="both"/>
      </w:pPr>
      <w:r>
        <w:t>Williams B, Skupski S. Impact of tele-ICU on mortality and length of stay: a meta-analysis. J Crit Care. 2020 Feb;55:181–6. doi: 10.1016/j.jcrc.2019.11.002.</w:t>
      </w:r>
    </w:p>
    <w:p w14:paraId="25BCCEFA" w14:textId="4FE12005" w:rsidR="000544DC" w:rsidRDefault="007F1F48" w:rsidP="00DF32C7">
      <w:pPr>
        <w:pStyle w:val="ListParagraph"/>
        <w:numPr>
          <w:ilvl w:val="0"/>
          <w:numId w:val="17"/>
        </w:numPr>
        <w:spacing w:line="232" w:lineRule="auto"/>
        <w:jc w:val="both"/>
      </w:pPr>
      <w:r>
        <w:t>Sendall D, Robertson C. Telehealth and nursing: Shifting roles and competencies. Stud Health Technol Inform. 2022 Jun 6;295:523-6. doi: 10.3233/SHTI220641.</w:t>
      </w:r>
    </w:p>
    <w:p w14:paraId="4E43D5B6" w14:textId="2741D77B" w:rsidR="00425CA5" w:rsidRDefault="00425CA5" w:rsidP="00DF32C7">
      <w:pPr>
        <w:spacing w:line="232" w:lineRule="auto"/>
        <w:ind w:left="360"/>
        <w:jc w:val="both"/>
      </w:pPr>
    </w:p>
    <w:p w14:paraId="23F46446" w14:textId="57864818" w:rsidR="00425CA5" w:rsidRPr="00425CA5" w:rsidRDefault="00425CA5" w:rsidP="00DF32C7">
      <w:pPr>
        <w:spacing w:line="232" w:lineRule="auto"/>
        <w:jc w:val="both"/>
        <w:rPr>
          <w:b/>
          <w:bCs/>
        </w:rPr>
      </w:pPr>
      <w:r w:rsidRPr="00425CA5">
        <w:rPr>
          <w:b/>
          <w:bCs/>
        </w:rPr>
        <w:t>Appendices</w:t>
      </w:r>
    </w:p>
    <w:p w14:paraId="509001EA" w14:textId="77777777" w:rsidR="004A7D3C" w:rsidRDefault="004A7D3C" w:rsidP="00DF32C7">
      <w:pPr>
        <w:spacing w:line="230" w:lineRule="auto"/>
        <w:jc w:val="both"/>
      </w:pPr>
      <w:r>
        <w:t>Appendix A: Full Search Strategy The primary goal of the search strategy was to ensure the systematic review was highly replicable and comprehensive, adhering strictly to PRISMA guidelines. This involved developing an explicit combination of Medical Subject Headings (MeSH) terms and keywords across the four critical PICO elements: Population ("Critical Care" OR "ICU"), Intervention ("AI" OR "Machine Learning"), Comparison, and Outcome ("Deterioration" OR "Mortality"). Boolean operators (AND and OR) were utilized to combine concepts logically, ensuring both high sensitivity (capturing all relevant papers) and high specificity (excluding irrelevant papers). The search was temporally constrained to articles published between January 1, 2010, and June 30, 2025, and limited to the English language.</w:t>
      </w:r>
    </w:p>
    <w:p w14:paraId="7A4060C4" w14:textId="3FA64107" w:rsidR="000B200C" w:rsidRDefault="004A7D3C" w:rsidP="00DF32C7">
      <w:pPr>
        <w:spacing w:line="230" w:lineRule="auto"/>
        <w:jc w:val="both"/>
      </w:pPr>
      <w:r>
        <w:t>The final search string was customized for each of the five electronic databases (PubMed, Scopus, Web of Science, CINAHL, and Cochrane), accounting for differences in their indexing mechanisms and field codes (e.g., using [MeSH] in PubMed and TITLE-ABS-KEY in Scopus). For example, the core structure linked concepts such as "Artificial Intelligence" OR "Machine Learning" with "Tele-nursing" OR "Tele-ICU" and "Critical Care" with "Clinical Deterioration" OR "Mortality". This detailed, multi-platform search approach was critical for minimizing selection bias and forms the basis for the transparency required in the Appendix A table detailing each database's exact query.</w:t>
      </w:r>
    </w:p>
    <w:p w14:paraId="3B3AC8B2" w14:textId="3412318F" w:rsidR="009869C7" w:rsidRDefault="009869C7" w:rsidP="00DF32C7">
      <w:pPr>
        <w:spacing w:line="230" w:lineRule="auto"/>
        <w:jc w:val="both"/>
      </w:pPr>
    </w:p>
    <w:p w14:paraId="3903F9AA" w14:textId="77777777" w:rsidR="009869C7" w:rsidRDefault="009869C7" w:rsidP="00DF32C7">
      <w:pPr>
        <w:spacing w:line="230" w:lineRule="auto"/>
        <w:jc w:val="both"/>
      </w:pPr>
    </w:p>
    <w:p w14:paraId="2C84AC49" w14:textId="5640E7A1" w:rsidR="000B200C" w:rsidRDefault="000B200C" w:rsidP="00DF32C7">
      <w:pPr>
        <w:spacing w:line="230" w:lineRule="auto"/>
        <w:jc w:val="both"/>
        <w:sectPr w:rsidR="000B200C" w:rsidSect="00082716">
          <w:headerReference w:type="default" r:id="rId8"/>
          <w:footerReference w:type="even" r:id="rId9"/>
          <w:footerReference w:type="default" r:id="rId10"/>
          <w:type w:val="continuous"/>
          <w:pgSz w:w="11907" w:h="16840"/>
          <w:pgMar w:top="1530" w:right="1418" w:bottom="1418" w:left="1134" w:header="709" w:footer="709" w:gutter="0"/>
          <w:cols w:space="720"/>
        </w:sectPr>
      </w:pPr>
    </w:p>
    <w:p w14:paraId="78D22457" w14:textId="77777777" w:rsidR="0098445B" w:rsidRDefault="0098445B" w:rsidP="00DF32C7">
      <w:pPr>
        <w:spacing w:line="230" w:lineRule="auto"/>
        <w:jc w:val="both"/>
      </w:pPr>
    </w:p>
    <w:p w14:paraId="30C903CF" w14:textId="77777777" w:rsidR="00992AEA" w:rsidRDefault="00992AEA" w:rsidP="00DF32C7">
      <w:pPr>
        <w:spacing w:line="230" w:lineRule="auto"/>
        <w:jc w:val="both"/>
      </w:pPr>
    </w:p>
    <w:p w14:paraId="2AA3ECC0" w14:textId="77777777" w:rsidR="00992AEA" w:rsidRDefault="00992AEA" w:rsidP="00DF32C7">
      <w:pPr>
        <w:spacing w:line="230" w:lineRule="auto"/>
        <w:jc w:val="both"/>
      </w:pPr>
    </w:p>
    <w:sectPr w:rsidR="00992AEA"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38488" w14:textId="77777777" w:rsidR="00354670" w:rsidRDefault="00354670">
      <w:r>
        <w:separator/>
      </w:r>
    </w:p>
  </w:endnote>
  <w:endnote w:type="continuationSeparator" w:id="0">
    <w:p w14:paraId="5814EDDF" w14:textId="77777777" w:rsidR="00354670" w:rsidRDefault="00354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panose1 w:val="00000400000000000000"/>
    <w:charset w:val="B2"/>
    <w:family w:val="auto"/>
    <w:pitch w:val="variable"/>
    <w:sig w:usb0="00002001" w:usb1="80000000" w:usb2="00000008" w:usb3="00000000" w:csb0="00000040" w:csb1="00000000"/>
  </w:font>
  <w:font w:name="Lotus">
    <w:altName w:val="Arial"/>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608ACA9E"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760DD9">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9DC6B" w14:textId="77777777" w:rsidR="00354670" w:rsidRDefault="00354670" w:rsidP="0010114F">
      <w:pPr>
        <w:bidi/>
      </w:pPr>
      <w:r>
        <w:separator/>
      </w:r>
    </w:p>
  </w:footnote>
  <w:footnote w:type="continuationSeparator" w:id="0">
    <w:p w14:paraId="3C80C394" w14:textId="77777777" w:rsidR="00354670" w:rsidRDefault="0035467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1397E2CB" w:rsidR="00931BA1" w:rsidRDefault="00504855" w:rsidP="00AA30C4">
    <w:pPr>
      <w:pStyle w:val="Header"/>
    </w:pPr>
    <w:r>
      <w:rPr>
        <w:noProof/>
        <w:snapToGrid/>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C3553D"/>
    <w:multiLevelType w:val="hybridMultilevel"/>
    <w:tmpl w:val="036A4E5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5D1CAC"/>
    <w:multiLevelType w:val="hybridMultilevel"/>
    <w:tmpl w:val="38486FA0"/>
    <w:lvl w:ilvl="0" w:tplc="2F1E06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4"/>
  </w:num>
  <w:num w:numId="3">
    <w:abstractNumId w:val="16"/>
  </w:num>
  <w:num w:numId="4">
    <w:abstractNumId w:val="0"/>
  </w:num>
  <w:num w:numId="5">
    <w:abstractNumId w:val="6"/>
  </w:num>
  <w:num w:numId="6">
    <w:abstractNumId w:val="14"/>
  </w:num>
  <w:num w:numId="7">
    <w:abstractNumId w:val="1"/>
  </w:num>
  <w:num w:numId="8">
    <w:abstractNumId w:val="10"/>
  </w:num>
  <w:num w:numId="9">
    <w:abstractNumId w:val="13"/>
  </w:num>
  <w:num w:numId="10">
    <w:abstractNumId w:val="2"/>
  </w:num>
  <w:num w:numId="11">
    <w:abstractNumId w:val="8"/>
  </w:num>
  <w:num w:numId="12">
    <w:abstractNumId w:val="3"/>
  </w:num>
  <w:num w:numId="13">
    <w:abstractNumId w:val="12"/>
  </w:num>
  <w:num w:numId="14">
    <w:abstractNumId w:val="15"/>
  </w:num>
  <w:num w:numId="15">
    <w:abstractNumId w:val="11"/>
  </w:num>
  <w:num w:numId="16">
    <w:abstractNumId w:val="5"/>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44DC"/>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845"/>
    <w:rsid w:val="00131AD7"/>
    <w:rsid w:val="0013403B"/>
    <w:rsid w:val="00134809"/>
    <w:rsid w:val="001416CC"/>
    <w:rsid w:val="00142AF8"/>
    <w:rsid w:val="00153EED"/>
    <w:rsid w:val="00155FDD"/>
    <w:rsid w:val="00157225"/>
    <w:rsid w:val="00162D71"/>
    <w:rsid w:val="00162E8E"/>
    <w:rsid w:val="00163651"/>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E7063"/>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1FF5"/>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4670"/>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911"/>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25CA5"/>
    <w:rsid w:val="00436729"/>
    <w:rsid w:val="00440630"/>
    <w:rsid w:val="0044088C"/>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A6BED"/>
    <w:rsid w:val="004A7D3C"/>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4413"/>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1818"/>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A5AEB"/>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55A81"/>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45E"/>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0DD9"/>
    <w:rsid w:val="0076212E"/>
    <w:rsid w:val="00762636"/>
    <w:rsid w:val="00766037"/>
    <w:rsid w:val="00770F6C"/>
    <w:rsid w:val="00777A52"/>
    <w:rsid w:val="00783DE3"/>
    <w:rsid w:val="00785F74"/>
    <w:rsid w:val="0079383F"/>
    <w:rsid w:val="007A7A27"/>
    <w:rsid w:val="007C1BFF"/>
    <w:rsid w:val="007C2032"/>
    <w:rsid w:val="007C2B72"/>
    <w:rsid w:val="007D2A63"/>
    <w:rsid w:val="007D62B6"/>
    <w:rsid w:val="007D68E1"/>
    <w:rsid w:val="007E1DFC"/>
    <w:rsid w:val="007E31F1"/>
    <w:rsid w:val="007E5C60"/>
    <w:rsid w:val="007E704E"/>
    <w:rsid w:val="007F1F48"/>
    <w:rsid w:val="007F47BC"/>
    <w:rsid w:val="00801170"/>
    <w:rsid w:val="00802275"/>
    <w:rsid w:val="00805178"/>
    <w:rsid w:val="00805F81"/>
    <w:rsid w:val="00807515"/>
    <w:rsid w:val="00810B8F"/>
    <w:rsid w:val="00810D38"/>
    <w:rsid w:val="008116A1"/>
    <w:rsid w:val="008116BE"/>
    <w:rsid w:val="00820579"/>
    <w:rsid w:val="00825878"/>
    <w:rsid w:val="00825C75"/>
    <w:rsid w:val="00825E8A"/>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A4BF3"/>
    <w:rsid w:val="008B2916"/>
    <w:rsid w:val="008B420A"/>
    <w:rsid w:val="008B514E"/>
    <w:rsid w:val="008C35C4"/>
    <w:rsid w:val="008C75F1"/>
    <w:rsid w:val="008D2717"/>
    <w:rsid w:val="008D2B91"/>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E39D0"/>
    <w:rsid w:val="00BF4CA1"/>
    <w:rsid w:val="00C03CB8"/>
    <w:rsid w:val="00C04412"/>
    <w:rsid w:val="00C04C99"/>
    <w:rsid w:val="00C069AF"/>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0785"/>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3A47"/>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324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142C"/>
    <w:rsid w:val="00DE67A4"/>
    <w:rsid w:val="00DF32C7"/>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931C6"/>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 w:type="paragraph" w:styleId="ListParagraph">
    <w:name w:val="List Paragraph"/>
    <w:basedOn w:val="Normal"/>
    <w:uiPriority w:val="34"/>
    <w:qFormat/>
    <w:rsid w:val="004F44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790127525">
      <w:bodyDiv w:val="1"/>
      <w:marLeft w:val="0"/>
      <w:marRight w:val="0"/>
      <w:marTop w:val="0"/>
      <w:marBottom w:val="0"/>
      <w:divBdr>
        <w:top w:val="none" w:sz="0" w:space="0" w:color="auto"/>
        <w:left w:val="none" w:sz="0" w:space="0" w:color="auto"/>
        <w:bottom w:val="none" w:sz="0" w:space="0" w:color="auto"/>
        <w:right w:val="none" w:sz="0" w:space="0" w:color="auto"/>
      </w:divBdr>
      <w:divsChild>
        <w:div w:id="1657302709">
          <w:marLeft w:val="0"/>
          <w:marRight w:val="0"/>
          <w:marTop w:val="0"/>
          <w:marBottom w:val="0"/>
          <w:divBdr>
            <w:top w:val="none" w:sz="0" w:space="0" w:color="auto"/>
            <w:left w:val="none" w:sz="0" w:space="0" w:color="auto"/>
            <w:bottom w:val="none" w:sz="0" w:space="0" w:color="auto"/>
            <w:right w:val="none" w:sz="0" w:space="0" w:color="auto"/>
          </w:divBdr>
        </w:div>
      </w:divsChild>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929001841">
      <w:bodyDiv w:val="1"/>
      <w:marLeft w:val="0"/>
      <w:marRight w:val="0"/>
      <w:marTop w:val="0"/>
      <w:marBottom w:val="0"/>
      <w:divBdr>
        <w:top w:val="none" w:sz="0" w:space="0" w:color="auto"/>
        <w:left w:val="none" w:sz="0" w:space="0" w:color="auto"/>
        <w:bottom w:val="none" w:sz="0" w:space="0" w:color="auto"/>
        <w:right w:val="none" w:sz="0" w:space="0" w:color="auto"/>
      </w:divBdr>
      <w:divsChild>
        <w:div w:id="1080370473">
          <w:marLeft w:val="0"/>
          <w:marRight w:val="0"/>
          <w:marTop w:val="0"/>
          <w:marBottom w:val="0"/>
          <w:divBdr>
            <w:top w:val="none" w:sz="0" w:space="0" w:color="auto"/>
            <w:left w:val="none" w:sz="0" w:space="0" w:color="auto"/>
            <w:bottom w:val="none" w:sz="0" w:space="0" w:color="auto"/>
            <w:right w:val="none" w:sz="0" w:space="0" w:color="auto"/>
          </w:divBdr>
        </w:div>
      </w:divsChild>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515074506">
      <w:bodyDiv w:val="1"/>
      <w:marLeft w:val="0"/>
      <w:marRight w:val="0"/>
      <w:marTop w:val="0"/>
      <w:marBottom w:val="0"/>
      <w:divBdr>
        <w:top w:val="none" w:sz="0" w:space="0" w:color="auto"/>
        <w:left w:val="none" w:sz="0" w:space="0" w:color="auto"/>
        <w:bottom w:val="none" w:sz="0" w:space="0" w:color="auto"/>
        <w:right w:val="none" w:sz="0" w:space="0" w:color="auto"/>
      </w:divBdr>
      <w:divsChild>
        <w:div w:id="1747533000">
          <w:marLeft w:val="0"/>
          <w:marRight w:val="0"/>
          <w:marTop w:val="0"/>
          <w:marBottom w:val="0"/>
          <w:divBdr>
            <w:top w:val="none" w:sz="0" w:space="0" w:color="auto"/>
            <w:left w:val="none" w:sz="0" w:space="0" w:color="auto"/>
            <w:bottom w:val="none" w:sz="0" w:space="0" w:color="auto"/>
            <w:right w:val="none" w:sz="0" w:space="0" w:color="auto"/>
          </w:divBdr>
        </w:div>
      </w:divsChild>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73085194">
      <w:bodyDiv w:val="1"/>
      <w:marLeft w:val="0"/>
      <w:marRight w:val="0"/>
      <w:marTop w:val="0"/>
      <w:marBottom w:val="0"/>
      <w:divBdr>
        <w:top w:val="none" w:sz="0" w:space="0" w:color="auto"/>
        <w:left w:val="none" w:sz="0" w:space="0" w:color="auto"/>
        <w:bottom w:val="none" w:sz="0" w:space="0" w:color="auto"/>
        <w:right w:val="none" w:sz="0" w:space="0" w:color="auto"/>
      </w:divBdr>
      <w:divsChild>
        <w:div w:id="1037586283">
          <w:marLeft w:val="0"/>
          <w:marRight w:val="0"/>
          <w:marTop w:val="0"/>
          <w:marBottom w:val="0"/>
          <w:divBdr>
            <w:top w:val="none" w:sz="0" w:space="0" w:color="auto"/>
            <w:left w:val="none" w:sz="0" w:space="0" w:color="auto"/>
            <w:bottom w:val="none" w:sz="0" w:space="0" w:color="auto"/>
            <w:right w:val="none" w:sz="0" w:space="0" w:color="auto"/>
          </w:divBdr>
        </w:div>
      </w:divsChild>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 w:id="2140418431">
      <w:bodyDiv w:val="1"/>
      <w:marLeft w:val="0"/>
      <w:marRight w:val="0"/>
      <w:marTop w:val="0"/>
      <w:marBottom w:val="0"/>
      <w:divBdr>
        <w:top w:val="none" w:sz="0" w:space="0" w:color="auto"/>
        <w:left w:val="none" w:sz="0" w:space="0" w:color="auto"/>
        <w:bottom w:val="none" w:sz="0" w:space="0" w:color="auto"/>
        <w:right w:val="none" w:sz="0" w:space="0" w:color="auto"/>
      </w:divBdr>
      <w:divsChild>
        <w:div w:id="15420938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15B4B-CFF8-4973-B9F5-7FDAF38F9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6</Pages>
  <Words>3738</Words>
  <Characters>21313</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25001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A</cp:lastModifiedBy>
  <cp:revision>42</cp:revision>
  <cp:lastPrinted>2007-05-16T03:26:00Z</cp:lastPrinted>
  <dcterms:created xsi:type="dcterms:W3CDTF">2024-02-26T10:03:00Z</dcterms:created>
  <dcterms:modified xsi:type="dcterms:W3CDTF">2025-11-12T11:48:00Z</dcterms:modified>
</cp:coreProperties>
</file>