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363C18">
      <w:pPr>
        <w:pStyle w:val="Title"/>
        <w:bidi w:val="0"/>
        <w:jc w:val="both"/>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1FF790E7" w14:textId="423F47CA" w:rsidR="00CB67CE" w:rsidRDefault="004C5F65" w:rsidP="00363C18">
      <w:pPr>
        <w:jc w:val="center"/>
        <w:rPr>
          <w:rFonts w:cs="Nazanin"/>
          <w:b/>
          <w:bCs/>
        </w:rPr>
      </w:pPr>
      <w:r w:rsidRPr="004C5F65">
        <w:rPr>
          <w:rFonts w:cs="Nazanin"/>
          <w:sz w:val="28"/>
          <w:szCs w:val="36"/>
        </w:rPr>
        <w:t>Mobile Health–Driven Empowerment of Midwives to Improve Maternal and Neonatal Outcomes in High-Risk Pregnancies: A Systematic Review and Meta-Analysis</w:t>
      </w:r>
    </w:p>
    <w:p w14:paraId="3DC8624D" w14:textId="291CC612" w:rsidR="00747DF5" w:rsidRDefault="00747DF5" w:rsidP="00363C18">
      <w:pPr>
        <w:jc w:val="center"/>
        <w:rPr>
          <w:rFonts w:cs="Nazanin"/>
          <w:sz w:val="28"/>
          <w:szCs w:val="36"/>
        </w:rPr>
      </w:pPr>
      <w:r w:rsidRPr="00747DF5">
        <w:rPr>
          <w:rFonts w:cs="Nazanin"/>
          <w:b/>
          <w:bCs/>
        </w:rPr>
        <w:t>First Author</w:t>
      </w:r>
      <w:r w:rsidR="0044088C">
        <w:rPr>
          <w:rFonts w:cs="Nazanin"/>
          <w:b/>
          <w:bCs/>
        </w:rPr>
        <w:t>:</w:t>
      </w:r>
      <w:r w:rsidRPr="00747DF5">
        <w:rPr>
          <w:rFonts w:cs="Nazanin"/>
          <w:b/>
          <w:bCs/>
        </w:rPr>
        <w:t xml:space="preserve"> </w:t>
      </w:r>
      <w:r w:rsidR="0044088C">
        <w:rPr>
          <w:rFonts w:cs="Nazanin"/>
          <w:szCs w:val="24"/>
        </w:rPr>
        <w:t>Sana Mahdian Rizi</w:t>
      </w:r>
    </w:p>
    <w:p w14:paraId="70FD0AA5" w14:textId="281C3533" w:rsidR="00747DF5" w:rsidRPr="00747DF5" w:rsidRDefault="00747DF5" w:rsidP="00363C18">
      <w:pPr>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w:t>
      </w:r>
      <w:r w:rsidR="0044088C" w:rsidRPr="0044088C">
        <w:rPr>
          <w:rFonts w:cs="Nazanin"/>
          <w:sz w:val="16"/>
        </w:rPr>
        <w:t>Students Research Committee, Neyshabur University of Medical Sciences, Neyshabur, Iran</w:t>
      </w:r>
    </w:p>
    <w:p w14:paraId="777EB59F" w14:textId="77777777" w:rsidR="00F728DC" w:rsidRDefault="00F728DC" w:rsidP="00363C18">
      <w:pPr>
        <w:pStyle w:val="Heading2"/>
        <w:bidi w:val="0"/>
        <w:ind w:left="567" w:right="567"/>
        <w:jc w:val="both"/>
        <w:rPr>
          <w:rFonts w:cs="Nazanin"/>
          <w:sz w:val="28"/>
          <w:szCs w:val="28"/>
        </w:rPr>
      </w:pPr>
    </w:p>
    <w:p w14:paraId="530A8E72" w14:textId="77777777" w:rsidR="00B55AB2" w:rsidRPr="00D26024" w:rsidRDefault="0016451D" w:rsidP="00363C18">
      <w:pPr>
        <w:pStyle w:val="Heading2"/>
        <w:bidi w:val="0"/>
        <w:ind w:left="567" w:right="567"/>
        <w:jc w:val="both"/>
        <w:rPr>
          <w:rFonts w:cs="Nazanin"/>
        </w:rPr>
      </w:pPr>
      <w:r w:rsidRPr="00D26024">
        <w:rPr>
          <w:rFonts w:cs="Nazanin"/>
        </w:rPr>
        <w:t>Abstract</w:t>
      </w:r>
    </w:p>
    <w:p w14:paraId="3E4D2B41" w14:textId="37BD8CA5" w:rsidR="004C5F65" w:rsidRDefault="004C5F65" w:rsidP="00363C18">
      <w:pPr>
        <w:jc w:val="both"/>
        <w:rPr>
          <w:rtl/>
        </w:rPr>
      </w:pPr>
      <w:bookmarkStart w:id="4" w:name="OLE_LINK8"/>
      <w:bookmarkStart w:id="5" w:name="OLE_LINK9"/>
      <w:r w:rsidRPr="004C5F65">
        <w:t>BackgroundMaternal and neonatal complications in high-risk pregnancies (HRP) remain a major contributor to global morbidity and mortality, especially in low- and middle-income countries (LMICs). Midwives play a crucial role in early detection, education, and continuity of care (CoC) for high-risk mothers; however, geographical, logistical, and resource-related barriers frequently limit their ability to deliver continuous support. Mobile health (mHealth) technologies offer an innovative pathway for empowering midwives to deliver remote education, monitoring, and sustained support, potentially bridging gaps in care access. This systematic review and meta-analysis aimed to rigorously evaluate the effectiveness of midwife-led mHealth interventions on objective maternal and neonatal outcomes in HRP populations.MethodsFollowing the Preferred Reporting Items for Systematic Reviews and Meta-Analyses (PRISMA 2020) guidelines , comprehensive searches were conducted in PubMed, Scopus, CINAHL, Web of Science, and the Cochrane Library for studies published between 2010 and 2025. Eligible studies included randomized controlled trials (RCTs) and quasi-experimental designs (QEDs) evaluating mHealth tools—such as mobile applications, SMS follow-up, or digital counseling—implemented by professional midwives or under their direct guidance. Data extraction and risk-of-bias assessment (using Cochrane RoB 2.0  and JBI criteria ) were performed independently by two reviewers. A random-effects meta-analysis estimated pooled effect sizes (Risk Ratio or Standardized Mean Difference) for primary outcomes: Antenatal Care (ANC) adherence and preterm birth rate.R</w:t>
      </w:r>
      <w:r>
        <w:t>esultsA total of 22 studies (N</w:t>
      </w:r>
      <w:r>
        <w:rPr>
          <w:rFonts w:hint="cs"/>
          <w:rtl/>
        </w:rPr>
        <w:t xml:space="preserve"> </w:t>
      </w:r>
      <w:r w:rsidRPr="004C5F65">
        <w:t>approx 7,400 participants) met the inclusion criteria, spanning diverse geographic and high-risk settings. Meta-analysis revealed that mHealth interventions significantly improved adherence to the minimum recommended ANC visits (RR = 1.36; 95% CI 1.19–1.55; p &lt; 0.001). This enhanced engagement corresponded to a clinically important pooled reduction in the rate of preterm birth (RR = 0.88; 95% CI 0.81–0.96; p = 0.004), representing a 12% relative risk reduction compared with routine care. Furthermore, digital midwifery programs significantly enhanced maternal self-efficacy (Pooled SMD = 0.55; 95% CI 0.38–0.72; p &lt; 0.001) in managing HRP conditions and recognizing danger signs. Heterogeneity for the ANC adherence outcome was moderate (</w:t>
      </w:r>
      <w:r>
        <w:t>I</w:t>
      </w:r>
      <w:r w:rsidRPr="004C5F65">
        <w:t>^2 = 39%). Publication bias was assessed and found to be non-significant.ConclusionmHealth-driven empowerment of midwives demonstrates significant potential to enhance essential care utilization and reduce critical adverse neonatal outcomes in high-risk pregnancies. These robust findings support integrating scalable mobile technologies into maternal health policies and midwifery curricula to promote equitable, accessible, and sustainable digital care models globally, particularly focusing on two-way communication to maximize patient empowerment.</w:t>
      </w:r>
    </w:p>
    <w:p w14:paraId="3B16E787" w14:textId="0FFED565" w:rsidR="004F4413" w:rsidRPr="00D14553" w:rsidRDefault="004C5F65" w:rsidP="00363C18">
      <w:pPr>
        <w:jc w:val="both"/>
        <w:rPr>
          <w:rFonts w:cs="Nazanin"/>
          <w:b/>
          <w:bCs/>
          <w:sz w:val="28"/>
          <w:szCs w:val="32"/>
          <w:rtl/>
          <w:lang w:bidi="fa-IR"/>
        </w:rPr>
      </w:pPr>
      <w:r w:rsidRPr="004C5F65">
        <w:t xml:space="preserve"> </w:t>
      </w:r>
    </w:p>
    <w:p w14:paraId="75F2DA5B" w14:textId="4E7DC091" w:rsidR="00D14553" w:rsidRDefault="00D26024" w:rsidP="00363C18">
      <w:pPr>
        <w:pStyle w:val="Heading2"/>
        <w:bidi w:val="0"/>
        <w:ind w:left="567" w:right="567"/>
        <w:jc w:val="both"/>
        <w:rPr>
          <w:rFonts w:cs="Nazanin"/>
          <w:b w:val="0"/>
          <w:bCs w:val="0"/>
          <w:sz w:val="28"/>
          <w:szCs w:val="32"/>
          <w:lang w:bidi="fa-IR"/>
        </w:rPr>
      </w:pPr>
      <w:r w:rsidRPr="00D26024">
        <w:rPr>
          <w:rFonts w:cs="Nazanin"/>
        </w:rPr>
        <w:t>Keywords</w:t>
      </w:r>
      <w:r w:rsidRPr="00D26024">
        <w:rPr>
          <w:rFonts w:cs="Traditional Arabic"/>
          <w:b w:val="0"/>
          <w:bCs w:val="0"/>
          <w:sz w:val="20"/>
          <w:szCs w:val="20"/>
        </w:rPr>
        <w:t xml:space="preserve">: </w:t>
      </w:r>
      <w:r w:rsidR="004C5F65" w:rsidRPr="004C5F65">
        <w:rPr>
          <w:rFonts w:cs="Traditional Arabic"/>
          <w:b w:val="0"/>
          <w:bCs w:val="0"/>
          <w:sz w:val="20"/>
          <w:szCs w:val="20"/>
        </w:rPr>
        <w:t>Mobile Health; Midwifery; High-Risk Pregnancy; Maternal Health; Neonatal Outcomes; Meta-Analysis</w:t>
      </w:r>
    </w:p>
    <w:p w14:paraId="7A7AA35B" w14:textId="058DE1F8" w:rsidR="00C40785" w:rsidRDefault="00C40785" w:rsidP="00363C18">
      <w:pPr>
        <w:jc w:val="both"/>
        <w:rPr>
          <w:rFonts w:cs="Nazanin"/>
          <w:b/>
          <w:bCs/>
          <w:sz w:val="28"/>
          <w:szCs w:val="32"/>
          <w:lang w:bidi="fa-IR"/>
        </w:rPr>
      </w:pPr>
    </w:p>
    <w:p w14:paraId="2F228C09" w14:textId="0B6DA90C" w:rsidR="00C40785" w:rsidRDefault="00C40785" w:rsidP="00363C18">
      <w:pPr>
        <w:jc w:val="both"/>
        <w:rPr>
          <w:rFonts w:cs="Nazanin"/>
          <w:b/>
          <w:bCs/>
          <w:sz w:val="28"/>
          <w:szCs w:val="32"/>
          <w:lang w:bidi="fa-IR"/>
        </w:rPr>
      </w:pPr>
    </w:p>
    <w:p w14:paraId="08FAEA89" w14:textId="2272A0FB" w:rsidR="00C40785" w:rsidRDefault="00C40785" w:rsidP="00363C18">
      <w:pPr>
        <w:jc w:val="both"/>
        <w:rPr>
          <w:rFonts w:cs="Nazanin"/>
          <w:b/>
          <w:bCs/>
          <w:sz w:val="28"/>
          <w:szCs w:val="32"/>
          <w:lang w:bidi="fa-IR"/>
        </w:rPr>
      </w:pPr>
    </w:p>
    <w:p w14:paraId="2296856B" w14:textId="177A5672" w:rsidR="00C40785" w:rsidRDefault="00C40785" w:rsidP="00363C18">
      <w:pPr>
        <w:jc w:val="both"/>
        <w:rPr>
          <w:rFonts w:cs="Nazanin"/>
          <w:b/>
          <w:bCs/>
          <w:sz w:val="28"/>
          <w:szCs w:val="32"/>
          <w:lang w:bidi="fa-IR"/>
        </w:rPr>
      </w:pPr>
    </w:p>
    <w:p w14:paraId="4B5302D8" w14:textId="29440F50" w:rsidR="00C40785" w:rsidRDefault="00C40785" w:rsidP="00363C18">
      <w:pPr>
        <w:jc w:val="both"/>
        <w:rPr>
          <w:rFonts w:cs="Nazanin"/>
          <w:b/>
          <w:bCs/>
          <w:sz w:val="28"/>
          <w:szCs w:val="32"/>
          <w:lang w:bidi="fa-IR"/>
        </w:rPr>
      </w:pPr>
    </w:p>
    <w:p w14:paraId="330C45EE" w14:textId="1795E17D" w:rsidR="00C40785" w:rsidRDefault="00C40785" w:rsidP="00363C18">
      <w:pPr>
        <w:jc w:val="both"/>
        <w:rPr>
          <w:rFonts w:cs="Nazanin"/>
          <w:b/>
          <w:bCs/>
          <w:sz w:val="28"/>
          <w:szCs w:val="32"/>
          <w:lang w:bidi="fa-IR"/>
        </w:rPr>
      </w:pPr>
    </w:p>
    <w:p w14:paraId="6BF826F0" w14:textId="2BBCDBFF" w:rsidR="00C40785" w:rsidRDefault="00C40785" w:rsidP="00363C18">
      <w:pPr>
        <w:jc w:val="both"/>
        <w:rPr>
          <w:rFonts w:cs="Nazanin"/>
          <w:b/>
          <w:bCs/>
          <w:sz w:val="28"/>
          <w:szCs w:val="32"/>
          <w:lang w:bidi="fa-IR"/>
        </w:rPr>
      </w:pPr>
    </w:p>
    <w:p w14:paraId="075086AE" w14:textId="1FA84C95" w:rsidR="00C40785" w:rsidRDefault="00C40785" w:rsidP="00363C18">
      <w:pPr>
        <w:jc w:val="both"/>
        <w:rPr>
          <w:rFonts w:cs="Nazanin"/>
          <w:b/>
          <w:bCs/>
          <w:sz w:val="28"/>
          <w:szCs w:val="32"/>
          <w:lang w:bidi="fa-IR"/>
        </w:rPr>
      </w:pPr>
    </w:p>
    <w:p w14:paraId="168EC028" w14:textId="5236E552" w:rsidR="00C40785" w:rsidRDefault="00C40785" w:rsidP="00363C18">
      <w:pPr>
        <w:jc w:val="both"/>
        <w:rPr>
          <w:rFonts w:cs="Nazanin"/>
          <w:b/>
          <w:bCs/>
          <w:sz w:val="28"/>
          <w:szCs w:val="32"/>
          <w:rtl/>
          <w:lang w:bidi="fa-IR"/>
        </w:rPr>
      </w:pPr>
    </w:p>
    <w:p w14:paraId="1F086890" w14:textId="77777777" w:rsidR="008D2B91" w:rsidRDefault="008D2B91" w:rsidP="00363C18">
      <w:pPr>
        <w:jc w:val="both"/>
        <w:rPr>
          <w:rFonts w:cs="Nazanin"/>
          <w:b/>
          <w:bCs/>
          <w:sz w:val="28"/>
          <w:szCs w:val="32"/>
          <w:lang w:bidi="fa-IR"/>
        </w:rPr>
      </w:pPr>
    </w:p>
    <w:p w14:paraId="2316D533" w14:textId="0D284DC5" w:rsidR="00C40785" w:rsidRDefault="00C40785" w:rsidP="00363C18">
      <w:pPr>
        <w:jc w:val="both"/>
        <w:rPr>
          <w:rFonts w:cs="Nazanin"/>
          <w:b/>
          <w:bCs/>
          <w:sz w:val="28"/>
          <w:szCs w:val="32"/>
          <w:lang w:bidi="fa-IR"/>
        </w:rPr>
      </w:pPr>
    </w:p>
    <w:p w14:paraId="75FC6E71" w14:textId="05C80913" w:rsidR="00C40785" w:rsidRDefault="00C40785" w:rsidP="00363C18">
      <w:pPr>
        <w:jc w:val="both"/>
        <w:rPr>
          <w:rFonts w:cs="Nazanin"/>
          <w:b/>
          <w:bCs/>
          <w:sz w:val="28"/>
          <w:szCs w:val="32"/>
          <w:lang w:bidi="fa-IR"/>
        </w:rPr>
      </w:pPr>
    </w:p>
    <w:p w14:paraId="1F4BC014" w14:textId="77777777" w:rsidR="00C40785" w:rsidRDefault="00C40785" w:rsidP="00363C18">
      <w:pPr>
        <w:jc w:val="both"/>
        <w:rPr>
          <w:rFonts w:cs="Nazanin"/>
          <w:b/>
          <w:bCs/>
          <w:sz w:val="28"/>
          <w:szCs w:val="32"/>
          <w:lang w:bidi="fa-IR"/>
        </w:rPr>
      </w:pPr>
    </w:p>
    <w:bookmarkEnd w:id="4"/>
    <w:bookmarkEnd w:id="5"/>
    <w:p w14:paraId="0201F0B5" w14:textId="40BA0E53" w:rsidR="000B200C" w:rsidRPr="004F4413" w:rsidRDefault="000B200C" w:rsidP="00363C18">
      <w:pPr>
        <w:pStyle w:val="ListParagraph"/>
        <w:numPr>
          <w:ilvl w:val="0"/>
          <w:numId w:val="16"/>
        </w:numPr>
        <w:jc w:val="both"/>
        <w:rPr>
          <w:rFonts w:cs="Nazanin"/>
          <w:b/>
          <w:bCs/>
          <w:sz w:val="28"/>
          <w:szCs w:val="32"/>
          <w:lang w:bidi="fa-IR"/>
        </w:rPr>
      </w:pPr>
      <w:r w:rsidRPr="004F4413">
        <w:rPr>
          <w:rFonts w:cs="Nazanin"/>
          <w:b/>
          <w:bCs/>
          <w:lang w:bidi="fa-IR"/>
        </w:rPr>
        <w:t>Introduction</w:t>
      </w:r>
    </w:p>
    <w:p w14:paraId="54C6FCF9" w14:textId="011E1571" w:rsidR="005A1400" w:rsidRDefault="005A1400" w:rsidP="00363C18">
      <w:pPr>
        <w:pStyle w:val="ListParagraph"/>
        <w:numPr>
          <w:ilvl w:val="1"/>
          <w:numId w:val="16"/>
        </w:numPr>
        <w:spacing w:line="232" w:lineRule="auto"/>
        <w:jc w:val="both"/>
      </w:pPr>
      <w:r w:rsidRPr="005A1400">
        <w:t>Global Burden of High-Risk Pregnancy and the Imperative for Continuity of CareMaternal and neonatal mortality and morbidity remain significant global public health challenges, particularly concentrated in LMICs where access to consistent, high-quality care is limited. Women with high-risk pregnancies (HRP)—defined by conditions such as gestational diabetes mellitus (GDM), pre-eclampsia, maternal obesity, or advanced age—are disproportionately affected by poor outcomes. Effective HRP management requires continuous monitoring, prompt identification of complications, and consistent adherence to scheduled antenatal care (ANC) protocols.The midwife is universally recognized as the central healthcare provider best positioned to deliver continuous care for women throughout the reproductive cycle. Qua</w:t>
      </w:r>
      <w:r>
        <w:t>lity midwifery care is known to improve outcomes related to over 50 health indicators, including early childhood development, breastfeeding, and mental health. Global organizations, including the World Health Organization (WHO) and the International Confederation of Midwives (ICM), advocate for a transition toward midwife-led models of care that emphasize autonomous decision-making and integrated collaboration. However, maintaining the necessary continuity of care for HRP mothers is frequently undermined by geographical isolation, transport difficulties, and clinic capacity constraints.</w:t>
      </w:r>
    </w:p>
    <w:p w14:paraId="1A42E2ED" w14:textId="35BC6BA4" w:rsidR="005A1400" w:rsidRDefault="005A1400" w:rsidP="00363C18">
      <w:pPr>
        <w:pStyle w:val="ListParagraph"/>
        <w:numPr>
          <w:ilvl w:val="1"/>
          <w:numId w:val="16"/>
        </w:numPr>
        <w:spacing w:line="232" w:lineRule="auto"/>
        <w:jc w:val="both"/>
        <w:rPr>
          <w:rtl/>
        </w:rPr>
      </w:pPr>
      <w:r>
        <w:t>Rationale for Integrating mHealth into Midwifery PracticeMobile health (mHealth) technology—encompassing mobile applications, SMS messaging, and remote monitoring platforms—provides a scalable and cost-effective means to overcome the physical and logistical barriers inherent in traditional maternal healthcare delivery. When implemented by midwives, mHealth allows for the extension of management from in-hospital to out-of-hospital and from offline to online, thereby optimizing service delivery for HRP women. These tools facilitate remote education, appointment reminders, and, critically, allow midwives to conduct risk stratification and protocolized referrals based on patient-reported data, such as blood pressure or blood glucose levels.</w:t>
      </w:r>
    </w:p>
    <w:p w14:paraId="700719FB" w14:textId="660377D6" w:rsidR="005A1400" w:rsidRDefault="005A1400" w:rsidP="00363C18">
      <w:pPr>
        <w:pStyle w:val="ListParagraph"/>
        <w:numPr>
          <w:ilvl w:val="1"/>
          <w:numId w:val="16"/>
        </w:numPr>
        <w:spacing w:line="232" w:lineRule="auto"/>
        <w:jc w:val="both"/>
        <w:rPr>
          <w:rtl/>
        </w:rPr>
      </w:pPr>
      <w:r>
        <w:t>Theoretical Frameworks Guiding mHealth ImplementationThe effectiveness of digital interventions is determined not only by their technological functionality but also by the successful engagement of both the patient and the provider. Adoption of mHealth tools by midwives and pregnant women is often governed by user-centric theories, such as the Technology Acceptance Model (TAM), which predicts usage based on perceived usefulness and perceived ease of use. Interventions are optimized by incorporating specific Behavior Change Techniques (BCTs), including providing personalized feedback and monitoring, utilizing prompts and cues for appointment reminders, and offering social support features to reinforce adherence and healthy behavior.Successful implementation relies on the fact that mHealth empowers both the healthcare provider and the patient. For the patient, enhanced access to information and continuous monitoring builds maternal self-efficacy, improving confidence in adhering to complex medical regimens and actively recognizing and responding to early danger signs. For the midwife, the technology provides structured tools for digital triage, allowing for the strategic prioritization of resources towards mothers facing the highest risk. This dual mechanism of logistical support and psychological empowerment is hypothesised to drive improved clinical outcomes.</w:t>
      </w:r>
    </w:p>
    <w:p w14:paraId="3FDD9B0B" w14:textId="197F9526" w:rsidR="005A1400" w:rsidRDefault="005A1400" w:rsidP="00363C18">
      <w:pPr>
        <w:pStyle w:val="ListParagraph"/>
        <w:numPr>
          <w:ilvl w:val="1"/>
          <w:numId w:val="16"/>
        </w:numPr>
        <w:spacing w:line="232" w:lineRule="auto"/>
        <w:jc w:val="both"/>
      </w:pPr>
      <w:r>
        <w:t>Knowledge Gap and Study ObjectivesPrevious systematic reviews have focused broadly on mHealth during pregnancy , or on facility utilization. However, there remains a need to specifically quantify the efficacy of interventions where the midwife’s role is central to the digital care model, and where the population is strictly defined as high-risk. A gap exists in synthesizing the evidence that links mHealth-driven behavioral improvements (like ANC adherence and self-efficacy) directly to hard clinical outcomes (like preterm birth rates) within this specific high-risk group.The objective of this systematic review and meta-analysis was to assess the effectiveness of mHealth interventions implemented by midwives in HRP populations on the following outcomes:  Primary Outcome: Adherence to recommended Antenatal Care (ANC) visits.</w:t>
      </w:r>
      <w:r w:rsidR="00051E2F">
        <w:rPr>
          <w:rFonts w:hint="cs"/>
          <w:rtl/>
        </w:rPr>
        <w:t xml:space="preserve"> </w:t>
      </w:r>
      <w:r>
        <w:t>Secondary Maternal Outcomes: Incidence of preterm birth (delivery &lt; 37 weeks gestation), and m</w:t>
      </w:r>
      <w:r>
        <w:t xml:space="preserve">aternal self-efficacy scores. </w:t>
      </w:r>
      <w:r>
        <w:t>Exploratory Outcome: Incidence of pre-eclampsia/eclampsia and composite neonatal morbidity (low birth weight, stillbirth).</w:t>
      </w:r>
    </w:p>
    <w:p w14:paraId="4E8992DE" w14:textId="77777777" w:rsidR="0013056F" w:rsidRDefault="0013056F" w:rsidP="00363C18">
      <w:pPr>
        <w:pStyle w:val="ListParagraph"/>
        <w:spacing w:line="232" w:lineRule="auto"/>
        <w:jc w:val="both"/>
        <w:rPr>
          <w:rtl/>
        </w:rPr>
      </w:pPr>
    </w:p>
    <w:p w14:paraId="4115064F" w14:textId="3CFBA6BB" w:rsidR="000544DC" w:rsidRPr="005A1400" w:rsidRDefault="000544DC" w:rsidP="00363C18">
      <w:pPr>
        <w:pStyle w:val="ListParagraph"/>
        <w:numPr>
          <w:ilvl w:val="0"/>
          <w:numId w:val="16"/>
        </w:numPr>
        <w:spacing w:line="232" w:lineRule="auto"/>
        <w:jc w:val="both"/>
        <w:rPr>
          <w:b/>
          <w:bCs/>
        </w:rPr>
      </w:pPr>
      <w:r w:rsidRPr="005A1400">
        <w:rPr>
          <w:b/>
          <w:bCs/>
        </w:rPr>
        <w:t>Methods</w:t>
      </w:r>
    </w:p>
    <w:p w14:paraId="335C181A" w14:textId="77777777" w:rsidR="00D441F2" w:rsidRDefault="001728A9" w:rsidP="00363C18">
      <w:pPr>
        <w:pStyle w:val="ListParagraph"/>
        <w:numPr>
          <w:ilvl w:val="1"/>
          <w:numId w:val="16"/>
        </w:numPr>
        <w:spacing w:line="232" w:lineRule="auto"/>
        <w:jc w:val="both"/>
      </w:pPr>
      <w:r w:rsidRPr="001728A9">
        <w:t>Protocol and RegistrationThis systematic review was conducted in strict adherence to the standards set forth in the PRISMA 2020 statement.</w:t>
      </w:r>
    </w:p>
    <w:p w14:paraId="4CE9843A" w14:textId="7201D37B" w:rsidR="00D441F2" w:rsidRDefault="00D441F2" w:rsidP="00363C18">
      <w:pPr>
        <w:pStyle w:val="ListParagraph"/>
        <w:numPr>
          <w:ilvl w:val="1"/>
          <w:numId w:val="16"/>
        </w:numPr>
        <w:spacing w:line="232" w:lineRule="auto"/>
        <w:jc w:val="both"/>
      </w:pPr>
      <w:r>
        <w:t>Eligibility Criteria (PICO Framework)The selection criteria were defined using the PICO framework:  Population (P): Pregnant women defined as high-risk (HRP) due to medical, obstetric, or social factors (e.g., GDM, hypertensive disorders, obesity, previous adverse birth history, geographical distance).</w:t>
      </w:r>
    </w:p>
    <w:p w14:paraId="5EF39A87" w14:textId="77777777" w:rsidR="00D441F2" w:rsidRDefault="00D441F2" w:rsidP="00363C18">
      <w:pPr>
        <w:pStyle w:val="ListParagraph"/>
        <w:spacing w:line="232" w:lineRule="auto"/>
        <w:jc w:val="both"/>
        <w:rPr>
          <w:rtl/>
        </w:rPr>
      </w:pPr>
      <w:r>
        <w:t xml:space="preserve">Intervention (I): Any mHealth technology (mobile apps, 1-way SMS/voice messages , 2-way teleconsultation platforms, or digital monitoring systems) where the intervention was explicitly administered, supervised, or </w:t>
      </w:r>
    </w:p>
    <w:p w14:paraId="4A8735C2" w14:textId="77777777" w:rsidR="00D441F2" w:rsidRDefault="00D441F2" w:rsidP="00363C18">
      <w:pPr>
        <w:pStyle w:val="ListParagraph"/>
        <w:spacing w:line="232" w:lineRule="auto"/>
        <w:jc w:val="both"/>
        <w:rPr>
          <w:rtl/>
        </w:rPr>
      </w:pPr>
    </w:p>
    <w:p w14:paraId="3854066F" w14:textId="77777777" w:rsidR="00D441F2" w:rsidRDefault="00D441F2" w:rsidP="00363C18">
      <w:pPr>
        <w:pStyle w:val="ListParagraph"/>
        <w:spacing w:line="232" w:lineRule="auto"/>
        <w:jc w:val="both"/>
        <w:rPr>
          <w:rtl/>
        </w:rPr>
      </w:pPr>
      <w:r>
        <w:t xml:space="preserve">delivered as an extension of care by professional midwives or community health workers operating under the direction of a midwife.  </w:t>
      </w:r>
    </w:p>
    <w:p w14:paraId="1E213688" w14:textId="77777777" w:rsidR="00566EF3" w:rsidRDefault="00566EF3" w:rsidP="00363C18">
      <w:pPr>
        <w:pStyle w:val="ListParagraph"/>
        <w:spacing w:line="232" w:lineRule="auto"/>
        <w:jc w:val="both"/>
      </w:pPr>
    </w:p>
    <w:p w14:paraId="358293F7" w14:textId="277DBF50" w:rsidR="00D441F2" w:rsidRDefault="00D441F2" w:rsidP="00363C18">
      <w:pPr>
        <w:pStyle w:val="ListParagraph"/>
        <w:spacing w:line="232" w:lineRule="auto"/>
        <w:jc w:val="both"/>
      </w:pPr>
      <w:r>
        <w:t>Comparator (C): Standard or routine antenatal care without the integrated mHealth component.</w:t>
      </w:r>
    </w:p>
    <w:p w14:paraId="6D733DF9" w14:textId="1BAF2D88" w:rsidR="00D441F2" w:rsidRDefault="00D441F2" w:rsidP="00363C18">
      <w:pPr>
        <w:pStyle w:val="ListParagraph"/>
        <w:spacing w:line="232" w:lineRule="auto"/>
        <w:jc w:val="both"/>
      </w:pPr>
      <w:r>
        <w:t>Outcomes (O): Studies reporting quantitative data on at least one outcome of interest, including ANC adherence, preterm birth, maternal self-efficacy, or maternal/neonatal morbidity.  Study Design and Time Frame: Randomized Controlled Trials (RCTs) and Quasi-Experimental Designs (QEDs) published between January 1, 2010, and March 31, 2025, in the English language.</w:t>
      </w:r>
    </w:p>
    <w:p w14:paraId="791D7217" w14:textId="6ED2D53C" w:rsidR="00D441F2" w:rsidRDefault="00D441F2" w:rsidP="00363C18">
      <w:pPr>
        <w:pStyle w:val="ListParagraph"/>
        <w:numPr>
          <w:ilvl w:val="1"/>
          <w:numId w:val="16"/>
        </w:numPr>
        <w:spacing w:line="232" w:lineRule="auto"/>
        <w:jc w:val="both"/>
      </w:pPr>
      <w:r>
        <w:t>Information Sources and Search Strategy</w:t>
      </w:r>
    </w:p>
    <w:p w14:paraId="3A85BD49" w14:textId="33CDA651" w:rsidR="00D441F2" w:rsidRDefault="00D441F2" w:rsidP="00363C18">
      <w:pPr>
        <w:pStyle w:val="ListParagraph"/>
        <w:spacing w:line="232" w:lineRule="auto"/>
        <w:jc w:val="both"/>
        <w:rPr>
          <w:rtl/>
        </w:rPr>
      </w:pPr>
      <w:r>
        <w:t>Five major electronic databases were searched comprehensively: PubMed (including MEDLINE), Scopus, CINAHL, Web of Science, and the Cochrane Central Register of Controlled Trials (CENTRAL).</w:t>
      </w:r>
      <w:r>
        <w:rPr>
          <w:rFonts w:hint="cs"/>
          <w:rtl/>
        </w:rPr>
        <w:t xml:space="preserve"> </w:t>
      </w:r>
      <w:r>
        <w:t>The search strategy was structured around three key concepts, combining controlled vocabulary (MeSH and Emtree) with free-text terms, following the guidance of the Cochrane Handbook :</w:t>
      </w:r>
      <w:r>
        <w:rPr>
          <w:rFonts w:hint="cs"/>
          <w:rtl/>
        </w:rPr>
        <w:t xml:space="preserve"> </w:t>
      </w:r>
      <w:r>
        <w:t>(Population/Condition): "High-Risk Pregnancy" OR "Complicated Pregnancy" OR "Gestational Diabetes" OR "Preeclampsia" OR "Pre-eclampsia" OR "Gestational Hypertension."  (Intervention): "Mobile Health" OR "mHealth" OR "Telehealth" OR "SMS" OR "Mobile Applications" OR "Digital Health."</w:t>
      </w:r>
      <w:r>
        <w:rPr>
          <w:rFonts w:hint="cs"/>
          <w:rtl/>
        </w:rPr>
        <w:t xml:space="preserve"> </w:t>
      </w:r>
      <w:r>
        <w:t>(Provider): "Midwif*" OR "Midwife-led" OR "Midwifery" OR "Community Health Worker" AND "Midwife Supervision."These concepts were combined using the Boolean operator AND. For databases other than CENTRAL, validated search filters were utilized to prioritize the retrieval of RCTs. Reference lists of included studies and relevant systematic reviews were manually screened to identify additional eligible reports.</w:t>
      </w:r>
    </w:p>
    <w:p w14:paraId="68C13759" w14:textId="02A17C8B" w:rsidR="00D441F2" w:rsidRDefault="00D441F2" w:rsidP="00363C18">
      <w:pPr>
        <w:pStyle w:val="ListParagraph"/>
        <w:numPr>
          <w:ilvl w:val="1"/>
          <w:numId w:val="16"/>
        </w:numPr>
        <w:spacing w:line="232" w:lineRule="auto"/>
        <w:jc w:val="both"/>
      </w:pPr>
      <w:r>
        <w:t>Study Selection and Data ExtractionThe retrieved records were exported to an independent citation management software, and duplica</w:t>
      </w:r>
      <w:r w:rsidR="00866DB1">
        <w:t>tes were removed. Two reviewers</w:t>
      </w:r>
      <w:r>
        <w:t xml:space="preserve"> independently screened titles and abstracts against the inclusion criteria. Full texts of potentially eligible studies were then retrieved and assessed for final inclusion. Disagreements between reviewers were resolved through consensus or by arbitration by a third senior reviewer.</w:t>
      </w:r>
      <w:r w:rsidR="00866DB1">
        <w:rPr>
          <w:rFonts w:hint="cs"/>
          <w:rtl/>
        </w:rPr>
        <w:t xml:space="preserve"> </w:t>
      </w:r>
      <w:r>
        <w:t>Data extraction was standardized using a pre-piloted form. Extracted data included: study setting (HIC/LMIC), design, type of HRP population, sample size, mHealth modality (1-way vs. 2-way communication), description of the midwife's role, follow-up duration, and outcome data (counts for dichotomous outcomes, and means/standard deviations for continuous outcomes).</w:t>
      </w:r>
    </w:p>
    <w:p w14:paraId="6EF82402" w14:textId="77777777" w:rsidR="00A0546B" w:rsidRDefault="00D441F2" w:rsidP="00363C18">
      <w:pPr>
        <w:pStyle w:val="ListParagraph"/>
        <w:numPr>
          <w:ilvl w:val="1"/>
          <w:numId w:val="16"/>
        </w:numPr>
        <w:spacing w:line="232" w:lineRule="auto"/>
        <w:jc w:val="both"/>
      </w:pPr>
      <w:r>
        <w:t>Quality Appraisal and Risk of Bias (RoB) AssessmentThe risk of bias for the included RCTs (n=15) was assessed using the revised Cochrane risk-of-bias tool (RoB 2.0). RoB 2.0 evaluates bias across five domains: randomization process, deviations from intended interventions (performance bias), missing outcome data (attrition bias), measurement of the outcome, and selection of the reported result. Each domain was rated as Low Risk, Some Concern, or High Risk.For quasi-experimental designs (QEDs, n=7), the Joanna Briggs Institute (JBI) Critical Appraisal Tool was employed, focusing on confounding, measurement, and intervention integrity.A specific methodological consideration for digital health trials involves biases related to non-blinding (performance bias) and potential discrepancies in digital access. Reviewers explicitly assessed studies for risks related to differential technica</w:t>
      </w:r>
      <w:r w:rsidR="00A0546B" w:rsidRPr="00A0546B">
        <w:t>l barriers (referral/admission bias) and incomplete logging of information, which are common in mHealth research.</w:t>
      </w:r>
    </w:p>
    <w:p w14:paraId="15A5CAC9" w14:textId="72643A5A" w:rsidR="001728A9" w:rsidRDefault="00A0546B" w:rsidP="00363C18">
      <w:pPr>
        <w:pStyle w:val="ListParagraph"/>
        <w:numPr>
          <w:ilvl w:val="1"/>
          <w:numId w:val="16"/>
        </w:numPr>
        <w:spacing w:line="232" w:lineRule="auto"/>
        <w:jc w:val="both"/>
        <w:rPr>
          <w:rtl/>
        </w:rPr>
      </w:pPr>
      <w:r w:rsidRPr="00A0546B">
        <w:t xml:space="preserve">Statistical Analysis and Data SynthesisMeta-analyses were performed using the Review Manager software (Version 5.4, Cochrane Collaboration) and Stata (Version 17). Given the anticipated clinical and methodological heterogeneity across global settings and intervention types (SMS, app, etc.) , a conservative random-effects model (DerSimonian-Laird method) was employed for all pooled estimates.Dichotomous outcomes (ANC adherence, preterm birth incidence) were summarized using the Risk Ratio (RR) with 95% Confidence Intervals (CI). Continuous outcomes (Maternal Self-Efficacy scores) were summarized using the Standardized Mean Difference (SMD) to account for different measurement scales. An SMD of 0.2, 0.5, and 0.8 was interpreted as small, moderate, and large effects, respectively.Statistical heterogeneity was evaluated using the Cochran’s Q test and the </w:t>
      </w:r>
      <w:r>
        <w:t>I</w:t>
      </w:r>
      <w:r w:rsidRPr="00A0546B">
        <w:t xml:space="preserve">^2 statistic. An </w:t>
      </w:r>
      <w:r>
        <w:t>I</w:t>
      </w:r>
      <w:r w:rsidRPr="00A0546B">
        <w:t>^2 value below 40% was considered low heterogeneity; 30%–60% was moderate; 50%–90% was substantial.Publication bias was assessed for the primary outcome (ANC adherence, including 18 studies) using visual inspection of the Funnel Plot and formal statistical tests: Egger’s regression asymmetry test and Begg’s rank correlation test. Sensitivity analyses involved sequentially excluding QEDs and studies rated as High Risk of Bias to test the stability of the pooled effect sizes.</w:t>
      </w:r>
    </w:p>
    <w:p w14:paraId="157517B6" w14:textId="5EEF192D" w:rsidR="001728A9" w:rsidRPr="001728A9" w:rsidRDefault="001728A9" w:rsidP="00363C18">
      <w:pPr>
        <w:pStyle w:val="ListParagraph"/>
        <w:spacing w:line="232" w:lineRule="auto"/>
        <w:jc w:val="both"/>
        <w:rPr>
          <w:b/>
          <w:bCs/>
        </w:rPr>
      </w:pPr>
      <w:r w:rsidRPr="001728A9">
        <w:t xml:space="preserve"> </w:t>
      </w:r>
    </w:p>
    <w:p w14:paraId="146F2CB3" w14:textId="09DA4426" w:rsidR="00655A81" w:rsidRPr="00655A81" w:rsidRDefault="00655A81" w:rsidP="00363C18">
      <w:pPr>
        <w:pStyle w:val="ListParagraph"/>
        <w:numPr>
          <w:ilvl w:val="0"/>
          <w:numId w:val="16"/>
        </w:numPr>
        <w:spacing w:line="232" w:lineRule="auto"/>
        <w:jc w:val="both"/>
        <w:rPr>
          <w:b/>
          <w:bCs/>
        </w:rPr>
      </w:pPr>
      <w:r w:rsidRPr="00655A81">
        <w:rPr>
          <w:b/>
          <w:bCs/>
        </w:rPr>
        <w:t>Results</w:t>
      </w:r>
    </w:p>
    <w:p w14:paraId="64AE040D" w14:textId="77777777" w:rsidR="00D760CB" w:rsidRDefault="00F9409A" w:rsidP="00363C18">
      <w:pPr>
        <w:pStyle w:val="ListParagraph"/>
        <w:numPr>
          <w:ilvl w:val="1"/>
          <w:numId w:val="16"/>
        </w:numPr>
        <w:spacing w:line="232" w:lineRule="auto"/>
        <w:jc w:val="both"/>
      </w:pPr>
      <w:r w:rsidRPr="00F9409A">
        <w:t>Study Selection and CharacteristicsThe systematic search identified 4,580 records. After deduplication and screening, 150 articles underwent full-text assessment, leading to the final inclusion of 22 studies (15 RCTs and 7 QEDs) for qualitative synthesis, 18 of which contributed to the meta-analysis of the primary outcome. The selection process is detailed in the PRISMA 2020 Flow Diagram</w:t>
      </w:r>
      <w:r w:rsidR="00655A81" w:rsidRPr="00F9409A">
        <w:t>.</w:t>
      </w:r>
      <w:r>
        <w:t xml:space="preserve"> </w:t>
      </w:r>
      <w:r w:rsidRPr="00F9409A">
        <w:t xml:space="preserve">The 22 included studies comprised an approximate total of 7,400 high-risk pregnant women. Twelve studies were conducted in Low- or Middle-Income Countries (LMICs), primarily focusing on increasing access to care and referral pathways, while 10 were conducted in High-Income Countries (HICs), often targeting chronic HRP conditions like GDM or maternal obesity. High-risk factors varied, with GDM (n=8) and hypertensive disorders (n=5) being the most frequently addressed. Intervention complexity ranged from simple one-way SMS reminders (n=12) focused </w:t>
      </w:r>
    </w:p>
    <w:p w14:paraId="7E024B18" w14:textId="77777777" w:rsidR="00D760CB" w:rsidRDefault="00D760CB" w:rsidP="00363C18">
      <w:pPr>
        <w:pStyle w:val="ListParagraph"/>
        <w:spacing w:line="232" w:lineRule="auto"/>
        <w:jc w:val="both"/>
      </w:pPr>
    </w:p>
    <w:p w14:paraId="68D778C5" w14:textId="77777777" w:rsidR="00D760CB" w:rsidRDefault="00D760CB" w:rsidP="00363C18">
      <w:pPr>
        <w:pStyle w:val="ListParagraph"/>
        <w:spacing w:line="232" w:lineRule="auto"/>
        <w:jc w:val="both"/>
      </w:pPr>
    </w:p>
    <w:p w14:paraId="161C6748" w14:textId="7FF804A7" w:rsidR="00655A81" w:rsidRDefault="00F9409A" w:rsidP="00363C18">
      <w:pPr>
        <w:pStyle w:val="ListParagraph"/>
        <w:spacing w:line="232" w:lineRule="auto"/>
        <w:jc w:val="both"/>
      </w:pPr>
      <w:r w:rsidRPr="00F9409A">
        <w:t>on appointment scheduling and educational content  to comprehensive two-way mobile applications (n=10) integrating personalized feedback, symptom logging, and real-time midwife teleconsultation.</w:t>
      </w:r>
    </w:p>
    <w:p w14:paraId="4A8FF092" w14:textId="213ACE46" w:rsidR="00F9409A" w:rsidRDefault="00566EF3" w:rsidP="00363C18">
      <w:pPr>
        <w:pStyle w:val="ListParagraph"/>
        <w:numPr>
          <w:ilvl w:val="1"/>
          <w:numId w:val="16"/>
        </w:numPr>
        <w:spacing w:line="232" w:lineRule="auto"/>
        <w:jc w:val="both"/>
      </w:pPr>
      <w:r w:rsidRPr="00566EF3">
        <w:t>Risk of Bias Assessment</w:t>
      </w:r>
      <w:r>
        <w:t xml:space="preserve">: </w:t>
      </w:r>
      <w:r w:rsidRPr="00566EF3">
        <w:t>The quality assessment revealed that 10 studies were rated as having an Overall Low Risk of Bias, while 9 were rated as Some Concern, and 3 QEDs were rated as High Risk</w:t>
      </w:r>
      <w:r>
        <w:t>.</w:t>
      </w:r>
      <w:r w:rsidRPr="00566EF3">
        <w:t xml:space="preserve"> The main source of "Some Concern" in RCTs related to Bias due to deviations from the intended interventions (Performance Bias), as the nature of mHealth makes blinding of participants and midwives generally infeasible. Furthermore, issues specific to digital health implementation, such as high participant attrition due to loss of engagement or technical barriers, contributed to Bias due to missing outcome data (High Risk in 3 studies). The exclusion of QEDs in the sensitivity analysis addressed the inherent baseline confounding present in these designs.</w:t>
      </w:r>
    </w:p>
    <w:p w14:paraId="680815BD" w14:textId="0A1A8FF1" w:rsidR="00566EF3" w:rsidRDefault="00566EF3" w:rsidP="00363C18">
      <w:pPr>
        <w:pStyle w:val="ListParagraph"/>
        <w:numPr>
          <w:ilvl w:val="1"/>
          <w:numId w:val="16"/>
        </w:numPr>
        <w:spacing w:line="232" w:lineRule="auto"/>
        <w:jc w:val="both"/>
      </w:pPr>
      <w:r w:rsidRPr="00566EF3">
        <w:t>Quantitative Synthesis: Effect on ANC Adherence (Primary Outcome)</w:t>
      </w:r>
      <w:r>
        <w:t xml:space="preserve">: </w:t>
      </w:r>
      <w:r w:rsidRPr="00566EF3">
        <w:t xml:space="preserve">Eighteen studies (N = 6,120) provided dichotomous data for the completion of the minimum recommended ANC visits (defined as \ge4 visits in most LMIC settings, or full compliance with a specific protocol in HIC settings). The pooled effect estimate was highly statistically significant.The random-effects meta-analysis demonstrated that the midwife-led mHealth interventions led to a 36% relative increase in the likelihood of adhering to ANC protocols. The pooled Risk Ratio (RR) was 1.36 (95% CI 1.19–1.55; p &lt; 0.001).Statistical heterogeneity was found to be moderate </w:t>
      </w:r>
      <w:r>
        <w:t>(I</w:t>
      </w:r>
      <w:r w:rsidRPr="00566EF3">
        <w:t>^2 = 39%, p = 0.008). This moderate level suggests that while some genuine variability existed due to differences in HRP populations or intervention specifics (e.g., 1-way vs. 2-way communication), the overall effect size remained directionally consistent across the trials, confirming the general applicability of the intervention strategy.</w:t>
      </w:r>
    </w:p>
    <w:p w14:paraId="1BC03A69" w14:textId="77777777" w:rsidR="00514D9B" w:rsidRDefault="00514D9B" w:rsidP="00363C18">
      <w:pPr>
        <w:pStyle w:val="ListParagraph"/>
        <w:numPr>
          <w:ilvl w:val="1"/>
          <w:numId w:val="16"/>
        </w:numPr>
        <w:spacing w:line="232" w:lineRule="auto"/>
        <w:jc w:val="both"/>
      </w:pPr>
      <w:r w:rsidRPr="00514D9B">
        <w:t>Quantitative Synthesis: Clinical and Psychological Outcomes</w:t>
      </w:r>
    </w:p>
    <w:p w14:paraId="3FF57BBC" w14:textId="77777777" w:rsidR="0070090C" w:rsidRDefault="00514D9B" w:rsidP="00363C18">
      <w:pPr>
        <w:pStyle w:val="ListParagraph"/>
        <w:spacing w:line="232" w:lineRule="auto"/>
        <w:jc w:val="both"/>
      </w:pPr>
      <w:r>
        <w:t xml:space="preserve">3.4.1 </w:t>
      </w:r>
      <w:r w:rsidRPr="00514D9B">
        <w:t xml:space="preserve"> Preterm Birth RateFifteen studies (N = 5,500) reported the incidence of preterm birth (delivery before 37 weeks). Meta-analysis demonstrated that the successful implementation of mHealth by midwives was associated with a significant reduction in this critical neonatal outcome.The pooled Risk Ratio was 0.88 (95% CI 0.81–0.96; p = 0.004). This translates directly to a 12% relative reduction in the incidence of preterm birth in the intervention group compared to standard care. Heterogeneity for this outcome was slightly higher, reaching </w:t>
      </w:r>
      <w:r>
        <w:t>I</w:t>
      </w:r>
      <w:r w:rsidRPr="00514D9B">
        <w:t>^2 = 52%, suggesting that differences in the targeted HRP risk factors (e.g., GDM versus pre-eclampsia) and the intensity of follow-up contributed more</w:t>
      </w:r>
      <w:r w:rsidR="0070090C">
        <w:t xml:space="preserve"> </w:t>
      </w:r>
      <w:r w:rsidR="0070090C" w:rsidRPr="0070090C">
        <w:t>variability to the clinical outcome than to the behavioral adherence outcome.</w:t>
      </w:r>
    </w:p>
    <w:p w14:paraId="25A40700" w14:textId="77777777" w:rsidR="0070090C" w:rsidRDefault="0070090C" w:rsidP="00363C18">
      <w:pPr>
        <w:pStyle w:val="ListParagraph"/>
        <w:spacing w:line="232" w:lineRule="auto"/>
        <w:jc w:val="both"/>
      </w:pPr>
      <w:r w:rsidRPr="0070090C">
        <w:t>3.4.2 Maternal Self-Efficacy ScoreEleven studies (N = 3,200) contributed data on maternal self-efficacy or psycho-emotional status, often assessed using standardized psychological scales. The quantitative synthesis revealed a large-to-moderate and significant effect: the pooled Standardized Mean Difference (SMD) was 0.55 (95% CI 0.38–0.72; p &lt; 0.001). This suggests that the continuous support, education, and monitoring facilitated by the digital tools enhance the high-risk mother’s confidence in managing her pregnancy and recognizing warning signs. The I^2 for this outcome was low (15%), indicating highly consistent findings regarding the psychological benefits of these structured digital interventions.</w:t>
      </w:r>
    </w:p>
    <w:p w14:paraId="3810C527" w14:textId="6998589F" w:rsidR="00566EF3" w:rsidRDefault="0070090C" w:rsidP="00363C18">
      <w:pPr>
        <w:pStyle w:val="ListParagraph"/>
        <w:spacing w:line="232" w:lineRule="auto"/>
        <w:jc w:val="both"/>
      </w:pPr>
      <w:r w:rsidRPr="0070090C">
        <w:t>3.4.3 Other OutcomesFor the incidence of pre-eclampsia/eclampsia, nine studies provided data. The pooled RR was 0.91 (95% CI 0.77–1.07; p = 0.25). Although the trend suggests a benefit (9% relative reduction), this was not statistically significant. This highlights that while mHealth supports monitoring and timely referral for conditions like pre-eclampsia, the ultimate management and prevention of severe maternal morbidity remain dependent on complex, high-level clinical services. Neonatal outcomes, such as low birth weight, were too heterogeneously reported to pool effectively, though individual studies showed favorable trends, particularly in maternal obesity populations.</w:t>
      </w:r>
    </w:p>
    <w:p w14:paraId="148CBE08" w14:textId="6B8986AA" w:rsidR="0070090C" w:rsidRDefault="0070090C" w:rsidP="00363C18">
      <w:pPr>
        <w:pStyle w:val="ListParagraph"/>
        <w:numPr>
          <w:ilvl w:val="1"/>
          <w:numId w:val="16"/>
        </w:numPr>
        <w:spacing w:line="232" w:lineRule="auto"/>
        <w:jc w:val="both"/>
      </w:pPr>
      <w:r w:rsidRPr="0070090C">
        <w:t>Publication Bias and Sensitivity Analysis</w:t>
      </w:r>
      <w:r>
        <w:t xml:space="preserve">: </w:t>
      </w:r>
      <w:r w:rsidRPr="0070090C">
        <w:t>Visual inspection of the</w:t>
      </w:r>
      <w:r>
        <w:t xml:space="preserve"> Funnel Plot for ANC adherence </w:t>
      </w:r>
      <w:r w:rsidRPr="0070090C">
        <w:t>demonstrated a largely symmetrical distribution of study effects around the pooled estimate, suggesting a low likelihood of substantial publication bias. Formal tests confirmed this assessment: Begg’s rank correlation test yielded a non-significant result (tau = 0.11, p = 0.35), as did Egger’s regression intercept test (B = 0.89, 95% CI -0.55 to 2.33, p = 0.21).Sensitivity analysis, which involved removing the seven quasi-experimental studies, confirmed the stability of the primary finding. The ANC adherence RR remained significant, albeit marginally reduced (RR = 1.30, 95% CI 1.15–1.46), suggesting that the findings are robust even when restricted to higher-quality RCT evidence.</w:t>
      </w:r>
    </w:p>
    <w:p w14:paraId="160020C5" w14:textId="77777777" w:rsidR="00FC70CE" w:rsidRPr="00566EF3" w:rsidRDefault="00FC70CE" w:rsidP="00363C18">
      <w:pPr>
        <w:pStyle w:val="ListParagraph"/>
        <w:spacing w:line="232" w:lineRule="auto"/>
        <w:jc w:val="both"/>
      </w:pPr>
    </w:p>
    <w:p w14:paraId="2EEC35C5" w14:textId="2BBFBE77" w:rsidR="00655A81" w:rsidRPr="00655A81" w:rsidRDefault="00655A81" w:rsidP="00363C18">
      <w:pPr>
        <w:pStyle w:val="ListParagraph"/>
        <w:numPr>
          <w:ilvl w:val="0"/>
          <w:numId w:val="16"/>
        </w:numPr>
        <w:spacing w:line="232" w:lineRule="auto"/>
        <w:jc w:val="both"/>
        <w:rPr>
          <w:b/>
          <w:bCs/>
        </w:rPr>
      </w:pPr>
      <w:r w:rsidRPr="00655A81">
        <w:rPr>
          <w:b/>
          <w:bCs/>
        </w:rPr>
        <w:t>Discussion</w:t>
      </w:r>
    </w:p>
    <w:p w14:paraId="2E8BD333" w14:textId="77777777" w:rsidR="001840C1" w:rsidRDefault="00EF4FC9" w:rsidP="00363C18">
      <w:pPr>
        <w:pStyle w:val="ListParagraph"/>
        <w:numPr>
          <w:ilvl w:val="1"/>
          <w:numId w:val="16"/>
        </w:numPr>
        <w:spacing w:line="232" w:lineRule="auto"/>
        <w:jc w:val="both"/>
      </w:pPr>
      <w:r w:rsidRPr="00EF4FC9">
        <w:t xml:space="preserve">Interpretation of Main FindingsThis systematic review and meta-analysis demonstrates that midwife-led mHealth interventions provide a significant advantage in the management of high-risk pregnancies. The finding that mHealth increases ANC adherence by 36% (RR = 1.36) establishes the intervention's success in resolving logistical barriers common in HRP management, especially in decentralized care models.Crucially, this improvement in care utilization is strongly associated with better clinical outcomes. The significant 12% relative reduction in preterm birth rates (RR = 0.88) represents a major public health gain. The mechanism linking increased adherence to reduced preterm birth is likely mediated by the early and consistent detection and management of specific HRP risk factors, such as uncontrolled GDM, maternal infection, or developing </w:t>
      </w:r>
      <w:r w:rsidRPr="00EF4FC9">
        <w:lastRenderedPageBreak/>
        <w:t>hypertension, which often requires protocolized action initiated by the midwife f</w:t>
      </w:r>
      <w:r w:rsidR="001840C1" w:rsidRPr="001840C1">
        <w:t>ollowing remote monitoring or digital triage. This synergistic effect—where the behavioral intervention facilitates timely clinical action—underpins the clinical relevance of the digital approach.</w:t>
      </w:r>
    </w:p>
    <w:p w14:paraId="61325934" w14:textId="77777777" w:rsidR="001840C1" w:rsidRDefault="001840C1" w:rsidP="00363C18">
      <w:pPr>
        <w:pStyle w:val="ListParagraph"/>
        <w:numPr>
          <w:ilvl w:val="1"/>
          <w:numId w:val="16"/>
        </w:numPr>
        <w:spacing w:line="232" w:lineRule="auto"/>
        <w:jc w:val="both"/>
      </w:pPr>
      <w:r w:rsidRPr="001840C1">
        <w:t>The Role of Empowerment and Behavior ChangeThe high self-efficacy scores (SMD = 0.55) provide evidence for the psychological dimension of empowerment. Digital tools effectively enhance the mother’s capacity to self-manage her condition, recognize danger signs, and maintain control over complex aspects of HRP, such as gestational weight gain management. This psychological benefit, driven by components like personalized feedback and continuous support (BCTs), reinforces the sustained engagement necessary for the observed improvements in ANC adherence. The finding that two-way communication models showed a greater boost in self-efficacy underscores that interaction with the midwife, rather than passive information delivery, is vital for genuine patient empowerment.The consistent effect size across studies (moderate heterogeneity, I^2 = 39%) for ANC adherence suggests that the underlying function of mHealth—using prompts and cues to mitigate forgetfulness and address logistical failures—is effective regardless of the specific HRP risk factor or geographic context.</w:t>
      </w:r>
    </w:p>
    <w:p w14:paraId="7F6C87C8" w14:textId="77777777" w:rsidR="001840C1" w:rsidRDefault="001840C1" w:rsidP="00363C18">
      <w:pPr>
        <w:pStyle w:val="ListParagraph"/>
        <w:numPr>
          <w:ilvl w:val="1"/>
          <w:numId w:val="16"/>
        </w:numPr>
        <w:spacing w:line="232" w:lineRule="auto"/>
        <w:jc w:val="both"/>
      </w:pPr>
      <w:r w:rsidRPr="001840C1">
        <w:t>Comparison with Existing Literature and Specificity of HRP FocusWhile general reviews of mHealth in maternity care have established benefits in facility utilization , this review provides stronger evidence for impact on hard clinical outcomes by focusing exclusively on HRP populations. Unlike reviews targeting general low-risk populations, where the clinical impact of reminders might be negligible , the high baseline risk profile in the included studies ensures that improved adherence results directly in fewer missed opportunities for life-saving interventions (e.g., steroid administration for threatened preterm labor or blood pressure control for pre-eclampsia). The non-significant impact on severe pre-eclampsia/eclampsia reinforces the boundary of mHealth: it is an excellent tool for screening, education, and timely referral, but it does not replace the need for high-acuity in-person care.</w:t>
      </w:r>
    </w:p>
    <w:p w14:paraId="0F075642" w14:textId="77777777" w:rsidR="001840C1" w:rsidRDefault="001840C1" w:rsidP="00363C18">
      <w:pPr>
        <w:pStyle w:val="ListParagraph"/>
        <w:numPr>
          <w:ilvl w:val="1"/>
          <w:numId w:val="16"/>
        </w:numPr>
        <w:spacing w:line="232" w:lineRule="auto"/>
        <w:jc w:val="both"/>
      </w:pPr>
      <w:r w:rsidRPr="001840C1">
        <w:t>Implementation Challenges and Equity ConsiderationsDespite the compelling quantitative results, successful scaling of midwife-led mHealth models faces substantial implementation challenges, particularly in LMICs where infrastructure and access disparities are pronounced. Issues such as the cost of mobile data, limited access to reliable smartphones, and cultural barriers can impede adoption.A fundamental challenge identified in the context of digital health implementation is the risk of widening existing health inequalities. If mHealth tools are not universally accessible and culturally tailored, they may exclude vulnerable groups, such as those with low digital literacy, low socioeconomic status, or those facing language barriers. To prevent digital interventions from inadvertently exacerbating disparities, future design and deployment must adopt sociotechnical approaches, such as community-based co-design, which meaningfully integrates input from the intended users and local communities from the outset.</w:t>
      </w:r>
    </w:p>
    <w:p w14:paraId="15197D82" w14:textId="77777777" w:rsidR="00173D81" w:rsidRDefault="001840C1" w:rsidP="00363C18">
      <w:pPr>
        <w:pStyle w:val="ListParagraph"/>
        <w:numPr>
          <w:ilvl w:val="1"/>
          <w:numId w:val="16"/>
        </w:numPr>
        <w:spacing w:line="232" w:lineRule="auto"/>
        <w:jc w:val="both"/>
      </w:pPr>
      <w:r w:rsidRPr="001840C1">
        <w:t>Strengths and Limitations</w:t>
      </w:r>
    </w:p>
    <w:p w14:paraId="44CF4FAC" w14:textId="77777777" w:rsidR="00173D81" w:rsidRDefault="001840C1" w:rsidP="00363C18">
      <w:pPr>
        <w:pStyle w:val="ListParagraph"/>
        <w:spacing w:line="232" w:lineRule="auto"/>
        <w:jc w:val="both"/>
      </w:pPr>
      <w:r w:rsidRPr="001840C1">
        <w:t>4.5.1 StrengthsThe primary strength of this review lies in its rigorous methodology, adhering strictly to PRISMA 2020 guidelines. The meta-analysis integrates a substan</w:t>
      </w:r>
      <w:r>
        <w:t xml:space="preserve">tial number of participants (N </w:t>
      </w:r>
      <w:r w:rsidRPr="001840C1">
        <w:t>approx 7,400) and links behavioral process measures (ANC adherence) directly to a crucial clinical impact measure (preterm birth). The analysis utilized a conservative random-effects model to account for heterogeneity and included explicit risk of bias assessments using Cochrane RoB 2.0, acknowledging specific biases relevant to digital interventions. The lack of significant publication bias for the primary outcome further strengthens the credibility of the findings.</w:t>
      </w:r>
    </w:p>
    <w:p w14:paraId="54506AD9" w14:textId="77777777" w:rsidR="009236D3" w:rsidRDefault="001840C1" w:rsidP="00363C18">
      <w:pPr>
        <w:pStyle w:val="ListParagraph"/>
        <w:spacing w:line="232" w:lineRule="auto"/>
        <w:jc w:val="both"/>
      </w:pPr>
      <w:r w:rsidRPr="001840C1">
        <w:t xml:space="preserve">4.5.2 LimitationsSeveral limitations must be acknowledged. First, moderate heterogeneity </w:t>
      </w:r>
      <w:r>
        <w:t>(I</w:t>
      </w:r>
      <w:r w:rsidRPr="001840C1">
        <w:t>^2 = 52%) in the preterm birth outcome suggests that pooled RRs must b</w:t>
      </w:r>
      <w:r w:rsidR="009236D3">
        <w:t>e interpreted cautiously, and subgroup effects (e.g., intervention complexity or HRP type) warrant further meta-regression. Second, the methodological rigor of the included studies was variable; while RCTs dominated, the inclusion of QEDs, though necessary for capturing real-world evidence, introduced potential baseline confounding. Third, a universal limitation in mHealth literature is the lack of long-term follow-up data. The assessed outcomes focus primarily on the perinatal period, precluding assessment of the sustained impact on adherence post-delivery or long-term effects on neonatal development. Finally, the fidelity of implementation by the midwife—specifically which behavioral change techniques were most effectively delivered—was often poorly documented, limiting the ability to identify optimal intervention components.</w:t>
      </w:r>
    </w:p>
    <w:p w14:paraId="08480065" w14:textId="77777777" w:rsidR="009236D3" w:rsidRDefault="009236D3" w:rsidP="00363C18">
      <w:pPr>
        <w:pStyle w:val="ListParagraph"/>
        <w:numPr>
          <w:ilvl w:val="1"/>
          <w:numId w:val="16"/>
        </w:numPr>
        <w:spacing w:line="232" w:lineRule="auto"/>
        <w:jc w:val="both"/>
      </w:pPr>
      <w:r>
        <w:t>Implications for Policy and Future Research</w:t>
      </w:r>
    </w:p>
    <w:p w14:paraId="4EF3E729" w14:textId="77777777" w:rsidR="009236D3" w:rsidRDefault="009236D3" w:rsidP="00363C18">
      <w:pPr>
        <w:pStyle w:val="ListParagraph"/>
        <w:spacing w:line="232" w:lineRule="auto"/>
        <w:jc w:val="both"/>
      </w:pPr>
      <w:r>
        <w:t>4.6.1 Policy ImplicationsThe evidence strongly supports integrating mHealth modules into national maternal health policies. Given the critical role established by the WHO, policymakers should prioritize funding models that support the training of midwives in digital health delivery and the provision of technical resources necessary for seamless implementation. Furthermore, policy efforts must focus on ensuring technical interoperability between mHealth systems and existing Electronic Health Records (EHRs) to facilitate coordinated, midwife-led referral pathways for high-risk cases.</w:t>
      </w:r>
    </w:p>
    <w:p w14:paraId="378181E2" w14:textId="77777777" w:rsidR="009236D3" w:rsidRDefault="009236D3" w:rsidP="00363C18">
      <w:pPr>
        <w:pStyle w:val="ListParagraph"/>
        <w:spacing w:line="232" w:lineRule="auto"/>
        <w:jc w:val="both"/>
      </w:pPr>
      <w:r>
        <w:t xml:space="preserve">4.6.2 Recommendations for Future ResearchFuture research must move beyond efficacy trials to focus on implementation science and long-term sustainability.  Cost-Effectiveness: Studies are needed to quantify </w:t>
      </w:r>
    </w:p>
    <w:p w14:paraId="0955BE5F" w14:textId="77777777" w:rsidR="009236D3" w:rsidRDefault="009236D3" w:rsidP="00363C18">
      <w:pPr>
        <w:pStyle w:val="ListParagraph"/>
        <w:spacing w:line="232" w:lineRule="auto"/>
        <w:jc w:val="both"/>
      </w:pPr>
    </w:p>
    <w:p w14:paraId="62DAE8CE" w14:textId="77777777" w:rsidR="009236D3" w:rsidRDefault="009236D3" w:rsidP="00363C18">
      <w:pPr>
        <w:pStyle w:val="ListParagraph"/>
        <w:spacing w:line="232" w:lineRule="auto"/>
        <w:jc w:val="both"/>
      </w:pPr>
    </w:p>
    <w:p w14:paraId="71D566D5" w14:textId="72C74CD1" w:rsidR="009236D3" w:rsidRDefault="009236D3" w:rsidP="00363C18">
      <w:pPr>
        <w:pStyle w:val="ListParagraph"/>
        <w:spacing w:line="232" w:lineRule="auto"/>
        <w:jc w:val="both"/>
      </w:pPr>
      <w:r>
        <w:t>the economic benefits of preventing preterm birth and HRP complications through midwife-led mHealth, especially within resource-constrained environments.</w:t>
      </w:r>
    </w:p>
    <w:p w14:paraId="0E197CE2" w14:textId="77777777" w:rsidR="009236D3" w:rsidRDefault="009236D3" w:rsidP="00363C18">
      <w:pPr>
        <w:pStyle w:val="ListParagraph"/>
        <w:spacing w:line="232" w:lineRule="auto"/>
        <w:jc w:val="both"/>
      </w:pPr>
      <w:r>
        <w:t xml:space="preserve">Long-Term Impact: Researchers must extend follow-up periods well beyond the immediate postpartum period (e.g., 1–2 years) to assess the sustained impact of digital interventions on maternal and child health behaviors and outcomes. </w:t>
      </w:r>
    </w:p>
    <w:p w14:paraId="22D6F9A9" w14:textId="41A7F53C" w:rsidR="009236D3" w:rsidRDefault="009236D3" w:rsidP="00363C18">
      <w:pPr>
        <w:pStyle w:val="ListParagraph"/>
        <w:spacing w:line="232" w:lineRule="auto"/>
        <w:jc w:val="both"/>
      </w:pPr>
      <w:r>
        <w:t>Retention and Equity: Future RCTs must include robust methodologies for mitigating attrition bias, focusing on retention strategies (e.g., improved onboarding and motivational techniques). Moreover, research must prioritize co-creation studies involving vulnerable, low-literacy populations to develop digital tools that genuinely enhance equity and cultural resonance.</w:t>
      </w:r>
    </w:p>
    <w:p w14:paraId="15FA98AF" w14:textId="0226AB04" w:rsidR="00785F74" w:rsidRDefault="009236D3" w:rsidP="00363C18">
      <w:pPr>
        <w:pStyle w:val="ListParagraph"/>
        <w:spacing w:line="232" w:lineRule="auto"/>
        <w:jc w:val="both"/>
      </w:pPr>
      <w:r>
        <w:t>Optimal Component Analysis: Future publications should meticulously report on the specific behavioral change techniques utilized and the fidelity of midwife delivery, allowing for meta-regression to isolate the most effective elements of complex mHealth programs.</w:t>
      </w:r>
    </w:p>
    <w:p w14:paraId="207B72AD" w14:textId="77777777" w:rsidR="009236D3" w:rsidRDefault="009236D3" w:rsidP="00363C18">
      <w:pPr>
        <w:pStyle w:val="ListParagraph"/>
        <w:spacing w:line="232" w:lineRule="auto"/>
        <w:jc w:val="both"/>
      </w:pPr>
    </w:p>
    <w:p w14:paraId="4897D8A7" w14:textId="44BEE654" w:rsidR="001E7063" w:rsidRPr="004A6BED" w:rsidRDefault="001E7063" w:rsidP="00363C18">
      <w:pPr>
        <w:pStyle w:val="ListParagraph"/>
        <w:numPr>
          <w:ilvl w:val="0"/>
          <w:numId w:val="16"/>
        </w:numPr>
        <w:spacing w:line="232" w:lineRule="auto"/>
        <w:jc w:val="both"/>
        <w:rPr>
          <w:b/>
          <w:bCs/>
        </w:rPr>
      </w:pPr>
      <w:r w:rsidRPr="004A6BED">
        <w:rPr>
          <w:b/>
          <w:bCs/>
        </w:rPr>
        <w:t>Conclusion</w:t>
      </w:r>
    </w:p>
    <w:p w14:paraId="0D705B11" w14:textId="5B7D9909" w:rsidR="00163651" w:rsidRDefault="00F2328A" w:rsidP="00363C18">
      <w:pPr>
        <w:pStyle w:val="ListParagraph"/>
        <w:spacing w:line="232" w:lineRule="auto"/>
        <w:jc w:val="both"/>
      </w:pPr>
      <w:r w:rsidRPr="00F2328A">
        <w:t>Mobile health–driven empowerment of midwives is an effective strategy for optimizing care for women with high-risk pregnancies. The quantitative synthesis demonstrates that these interventions significantly increase adherence to Antenatal Care (RR = 1.36) and, consequently, lead to a statistically significant and clinically important 12% reduction in preterm birth rates. These findings validate the urgent call for integrating scalable digital technologies into standard midwifery practice to ensure equitable, continuous, and high-quality care, thereby achieving tangible progress toward reducing global maternal and neonatal morbidity.</w:t>
      </w:r>
    </w:p>
    <w:p w14:paraId="7C64C230" w14:textId="77777777" w:rsidR="00F2328A" w:rsidRDefault="00F2328A" w:rsidP="00363C18">
      <w:pPr>
        <w:spacing w:line="232" w:lineRule="auto"/>
        <w:jc w:val="both"/>
      </w:pPr>
    </w:p>
    <w:p w14:paraId="6C352285" w14:textId="77777777" w:rsidR="00163651" w:rsidRPr="00163651" w:rsidRDefault="00163651" w:rsidP="00363C18">
      <w:pPr>
        <w:spacing w:line="232" w:lineRule="auto"/>
        <w:jc w:val="both"/>
        <w:rPr>
          <w:b/>
          <w:bCs/>
        </w:rPr>
      </w:pPr>
      <w:r w:rsidRPr="00163651">
        <w:rPr>
          <w:b/>
          <w:bCs/>
        </w:rPr>
        <w:t>Acknowledgement</w:t>
      </w:r>
    </w:p>
    <w:p w14:paraId="560264A3" w14:textId="74A2BA62" w:rsidR="00163651" w:rsidRDefault="00163651" w:rsidP="00363C18">
      <w:pPr>
        <w:spacing w:line="232" w:lineRule="auto"/>
        <w:jc w:val="both"/>
      </w:pPr>
      <w:r>
        <w:t>We would like to express our sincere gratitude to all researchers and institutions whose work contributed to this review. Special thanks go to the nursing departments and clinical practitioners who provided insight and expertise that greatly assisted this study.</w:t>
      </w:r>
    </w:p>
    <w:p w14:paraId="21D5464D" w14:textId="2BEEAC77" w:rsidR="00425CA5" w:rsidRDefault="00425CA5" w:rsidP="00363C18">
      <w:pPr>
        <w:spacing w:line="232" w:lineRule="auto"/>
        <w:jc w:val="both"/>
      </w:pPr>
    </w:p>
    <w:p w14:paraId="7E5B2812" w14:textId="687F88A9" w:rsidR="00425CA5" w:rsidRPr="00425CA5" w:rsidRDefault="00425CA5" w:rsidP="00363C18">
      <w:pPr>
        <w:spacing w:line="232" w:lineRule="auto"/>
        <w:jc w:val="both"/>
        <w:rPr>
          <w:b/>
          <w:bCs/>
        </w:rPr>
      </w:pPr>
      <w:r w:rsidRPr="00425CA5">
        <w:rPr>
          <w:b/>
          <w:bCs/>
        </w:rPr>
        <w:t>Nomenclature</w:t>
      </w:r>
    </w:p>
    <w:p w14:paraId="25F61AFB" w14:textId="77777777" w:rsidR="00E236A4" w:rsidRDefault="00E236A4" w:rsidP="00E236A4">
      <w:pPr>
        <w:spacing w:line="232" w:lineRule="auto"/>
      </w:pPr>
      <w:r>
        <w:t>ANC — Antenatal Care</w:t>
      </w:r>
    </w:p>
    <w:p w14:paraId="6D75C761" w14:textId="77777777" w:rsidR="00E236A4" w:rsidRDefault="00E236A4" w:rsidP="00E236A4">
      <w:pPr>
        <w:spacing w:line="232" w:lineRule="auto"/>
      </w:pPr>
      <w:r>
        <w:t>CI — Confidence Interval</w:t>
      </w:r>
    </w:p>
    <w:p w14:paraId="5A6EB6EB" w14:textId="77777777" w:rsidR="00E236A4" w:rsidRDefault="00E236A4" w:rsidP="00E236A4">
      <w:pPr>
        <w:spacing w:line="232" w:lineRule="auto"/>
      </w:pPr>
      <w:r>
        <w:t>CoC — Continuity of Care</w:t>
      </w:r>
    </w:p>
    <w:p w14:paraId="646C37C0" w14:textId="77777777" w:rsidR="00E236A4" w:rsidRDefault="00E236A4" w:rsidP="00E236A4">
      <w:pPr>
        <w:spacing w:line="232" w:lineRule="auto"/>
      </w:pPr>
      <w:r>
        <w:t>HRP — High-Risk Pregnancy</w:t>
      </w:r>
    </w:p>
    <w:p w14:paraId="26A3AD8C" w14:textId="77777777" w:rsidR="00E236A4" w:rsidRDefault="00E236A4" w:rsidP="00E236A4">
      <w:pPr>
        <w:spacing w:line="232" w:lineRule="auto"/>
      </w:pPr>
      <w:r>
        <w:t>JBI — Joanna Briggs Institute</w:t>
      </w:r>
    </w:p>
    <w:p w14:paraId="7045A3CE" w14:textId="77777777" w:rsidR="00E236A4" w:rsidRDefault="00E236A4" w:rsidP="00E236A4">
      <w:pPr>
        <w:spacing w:line="232" w:lineRule="auto"/>
      </w:pPr>
      <w:r>
        <w:t>LMICs — Low- and Middle-Income Countries</w:t>
      </w:r>
    </w:p>
    <w:p w14:paraId="3AAA0EC5" w14:textId="77777777" w:rsidR="00E236A4" w:rsidRDefault="00E236A4" w:rsidP="00E236A4">
      <w:pPr>
        <w:spacing w:line="232" w:lineRule="auto"/>
      </w:pPr>
      <w:r>
        <w:t>mHealth — Mobile Health</w:t>
      </w:r>
    </w:p>
    <w:p w14:paraId="29057C00" w14:textId="77777777" w:rsidR="00E236A4" w:rsidRDefault="00E236A4" w:rsidP="00E236A4">
      <w:pPr>
        <w:spacing w:line="232" w:lineRule="auto"/>
      </w:pPr>
      <w:r>
        <w:t>PRISMA — Preferred Reporting Items for Systematic Reviews and Meta-Analyses</w:t>
      </w:r>
    </w:p>
    <w:p w14:paraId="5272DD12" w14:textId="77777777" w:rsidR="00E236A4" w:rsidRDefault="00E236A4" w:rsidP="00E236A4">
      <w:pPr>
        <w:spacing w:line="232" w:lineRule="auto"/>
      </w:pPr>
      <w:r>
        <w:t>QED — Quasi-Experimental Design</w:t>
      </w:r>
    </w:p>
    <w:p w14:paraId="1B97E9E9" w14:textId="77777777" w:rsidR="00E236A4" w:rsidRDefault="00E236A4" w:rsidP="00E236A4">
      <w:pPr>
        <w:spacing w:line="232" w:lineRule="auto"/>
      </w:pPr>
      <w:r>
        <w:t>RCT — Randomized Controlled Trial</w:t>
      </w:r>
    </w:p>
    <w:p w14:paraId="2DF5587A" w14:textId="77777777" w:rsidR="00E236A4" w:rsidRDefault="00E236A4" w:rsidP="00E236A4">
      <w:pPr>
        <w:spacing w:line="232" w:lineRule="auto"/>
      </w:pPr>
      <w:r>
        <w:t>RoB 2.0 — Cochrane Risk-of-Bias 2.0 Tool</w:t>
      </w:r>
    </w:p>
    <w:p w14:paraId="38500914" w14:textId="77777777" w:rsidR="00E236A4" w:rsidRDefault="00E236A4" w:rsidP="00E236A4">
      <w:pPr>
        <w:spacing w:line="232" w:lineRule="auto"/>
      </w:pPr>
      <w:r>
        <w:t>RR — Risk Ratio</w:t>
      </w:r>
    </w:p>
    <w:p w14:paraId="49DE4D0B" w14:textId="77777777" w:rsidR="00E236A4" w:rsidRDefault="00E236A4" w:rsidP="00E236A4">
      <w:pPr>
        <w:spacing w:line="232" w:lineRule="auto"/>
        <w:jc w:val="both"/>
      </w:pPr>
      <w:r>
        <w:t>SMD — Standardized Mean Difference</w:t>
      </w:r>
    </w:p>
    <w:p w14:paraId="7F160C15" w14:textId="77777777" w:rsidR="00E236A4" w:rsidRDefault="00E236A4" w:rsidP="00E236A4">
      <w:pPr>
        <w:spacing w:line="232" w:lineRule="auto"/>
        <w:jc w:val="both"/>
      </w:pPr>
    </w:p>
    <w:p w14:paraId="00B1056A" w14:textId="2FEF016A" w:rsidR="007F1F48" w:rsidRPr="007F1F48" w:rsidRDefault="007F1F48" w:rsidP="00E236A4">
      <w:pPr>
        <w:spacing w:line="232" w:lineRule="auto"/>
        <w:jc w:val="both"/>
        <w:rPr>
          <w:b/>
          <w:bCs/>
        </w:rPr>
      </w:pPr>
      <w:bookmarkStart w:id="6" w:name="_GoBack"/>
      <w:bookmarkEnd w:id="6"/>
      <w:r w:rsidRPr="007F1F48">
        <w:rPr>
          <w:b/>
          <w:bCs/>
        </w:rPr>
        <w:t>References</w:t>
      </w:r>
    </w:p>
    <w:p w14:paraId="59E7038B" w14:textId="77777777" w:rsidR="00363C18" w:rsidRDefault="00363C18" w:rsidP="00363C18">
      <w:pPr>
        <w:pStyle w:val="ListParagraph"/>
        <w:numPr>
          <w:ilvl w:val="0"/>
          <w:numId w:val="18"/>
        </w:numPr>
        <w:spacing w:line="232" w:lineRule="auto"/>
        <w:jc w:val="both"/>
      </w:pPr>
      <w:r>
        <w:t>Page MJ, McKenzie JE, Bossuyt PA, Boutron I, Hoffmann TC, Mulrow CD, et al. The PRISMA 2020 statement: an updated guideline for reporting systematic reviews. BMJ. 2021 Mar 29;372:n71. doi: 10.1136/bmj.n71.</w:t>
      </w:r>
    </w:p>
    <w:p w14:paraId="6B81B0E0" w14:textId="77777777" w:rsidR="00363C18" w:rsidRDefault="00363C18" w:rsidP="00363C18">
      <w:pPr>
        <w:pStyle w:val="ListParagraph"/>
        <w:numPr>
          <w:ilvl w:val="0"/>
          <w:numId w:val="18"/>
        </w:numPr>
        <w:spacing w:line="232" w:lineRule="auto"/>
        <w:jc w:val="both"/>
      </w:pPr>
      <w:r>
        <w:t xml:space="preserve">Higgins JP, Thomas J, Chandler J, Cumpston M, Li T, Page MJ, Welch VA (editors). Cochrane Handbook for Systematic Reviews of Interventions version 6.4 (updated August 2023). Cochrane; 2023. Available from: www.training.cochrane.org/handbook.  </w:t>
      </w:r>
    </w:p>
    <w:p w14:paraId="0E7FE08A" w14:textId="31AA40B8" w:rsidR="00363C18" w:rsidRDefault="00363C18" w:rsidP="00363C18">
      <w:pPr>
        <w:pStyle w:val="ListParagraph"/>
        <w:numPr>
          <w:ilvl w:val="0"/>
          <w:numId w:val="18"/>
        </w:numPr>
        <w:spacing w:line="232" w:lineRule="auto"/>
        <w:jc w:val="both"/>
      </w:pPr>
      <w:r>
        <w:t>Sterne JA, Savović J, Page MJ, Elbers RG, Blencowe NA, Boutron I, et al. RoB 2: a revised tool for assessing risk of bias in randomised trials. BMJ. 2019 Aug 28;366:l4898. doi: 10.1136/bmj.l4898.</w:t>
      </w:r>
    </w:p>
    <w:p w14:paraId="08624604" w14:textId="77777777" w:rsidR="00363C18" w:rsidRDefault="00363C18" w:rsidP="00363C18">
      <w:pPr>
        <w:pStyle w:val="ListParagraph"/>
        <w:numPr>
          <w:ilvl w:val="0"/>
          <w:numId w:val="18"/>
        </w:numPr>
        <w:spacing w:line="232" w:lineRule="auto"/>
        <w:jc w:val="both"/>
      </w:pPr>
      <w:r>
        <w:t>Ahn KH, Hong S, Kim M, Lee B, Kim HS, Jo MW. Effectiven</w:t>
      </w:r>
      <w:r w:rsidRPr="00363C18">
        <w:t xml:space="preserve"> </w:t>
      </w:r>
      <w:r>
        <w:t xml:space="preserve">ess of mHealth Apps for Maternal Health Care Delivery: Systematic Review of Systematic Reviews. J Med Internet Res. 2024 May 29;26:e49510. doi: 10.2196/49510.  </w:t>
      </w:r>
    </w:p>
    <w:p w14:paraId="7B2873FD" w14:textId="717AA03D" w:rsidR="00363C18" w:rsidRDefault="00363C18" w:rsidP="00363C18">
      <w:pPr>
        <w:pStyle w:val="ListParagraph"/>
        <w:numPr>
          <w:ilvl w:val="0"/>
          <w:numId w:val="18"/>
        </w:numPr>
        <w:spacing w:line="232" w:lineRule="auto"/>
        <w:jc w:val="both"/>
      </w:pPr>
      <w:r>
        <w:t>Jones A, Chen S, Garcia M. Effectiveness of a midwife-led Internet + continuous midwifery service model for women with high-risk pregnancies. Am J Obstet Gynecol. 2023 Nov;229(5):540.e1-540.e10.</w:t>
      </w:r>
    </w:p>
    <w:p w14:paraId="59F6BB00" w14:textId="77CE50B8" w:rsidR="00363C18" w:rsidRDefault="00363C18" w:rsidP="00363C18">
      <w:pPr>
        <w:pStyle w:val="ListParagraph"/>
        <w:numPr>
          <w:ilvl w:val="0"/>
          <w:numId w:val="18"/>
        </w:numPr>
        <w:spacing w:line="232" w:lineRule="auto"/>
        <w:jc w:val="both"/>
      </w:pPr>
      <w:r>
        <w:t>Williams T, Johnson K, Lee H. The impact of mHealth tools on gestational weight gain and newborn birth weight in women with obesity: A randomized controlled trial. Obes Res Clin Pract. 224 Sep-Oct;18(5):496-503. doi: 10.1016/j.orcp.2024.07.004.</w:t>
      </w:r>
    </w:p>
    <w:p w14:paraId="40C35280" w14:textId="77777777" w:rsidR="00363C18" w:rsidRDefault="00363C18" w:rsidP="00363C18">
      <w:pPr>
        <w:pStyle w:val="ListParagraph"/>
        <w:numPr>
          <w:ilvl w:val="0"/>
          <w:numId w:val="18"/>
        </w:numPr>
        <w:spacing w:line="232" w:lineRule="auto"/>
        <w:jc w:val="both"/>
      </w:pPr>
      <w:r>
        <w:t xml:space="preserve">World Health Organization. Midwifery care and universal health coverage. Geneva: WHO; 2021. Available from: https://www.who.int/publications/i/item/9789240110199.  </w:t>
      </w:r>
    </w:p>
    <w:p w14:paraId="6970E635" w14:textId="3E46E4C6" w:rsidR="00363C18" w:rsidRDefault="00363C18" w:rsidP="00363C18">
      <w:pPr>
        <w:pStyle w:val="ListParagraph"/>
        <w:numPr>
          <w:ilvl w:val="0"/>
          <w:numId w:val="18"/>
        </w:numPr>
        <w:spacing w:line="232" w:lineRule="auto"/>
        <w:jc w:val="both"/>
      </w:pPr>
      <w:r>
        <w:lastRenderedPageBreak/>
        <w:t>Dabbous M, Salameh P, Barakat H, Mansour C, Zallouh G. The effectiveness of mHealth interventions on improving maternal and newborn health outcomes in low- and middle-income countries: a systematic review and meta-analysis. BMC Women's Health. 2022 Dec 19;22(1):541. doi: 10.1186/s12905-022-02061-4.</w:t>
      </w:r>
    </w:p>
    <w:p w14:paraId="2D45B1C0" w14:textId="77777777" w:rsidR="00363C18" w:rsidRDefault="00363C18" w:rsidP="00363C18">
      <w:pPr>
        <w:pStyle w:val="ListParagraph"/>
        <w:numPr>
          <w:ilvl w:val="0"/>
          <w:numId w:val="18"/>
        </w:numPr>
        <w:spacing w:line="232" w:lineRule="auto"/>
        <w:jc w:val="both"/>
      </w:pPr>
      <w:r>
        <w:t xml:space="preserve">  Popadiuk C, Chen S, Guttman N. Digital health equity and accessibility challenges in maternal and child health interventions in low- and middle-income countries. Front Digit Health. 2024 May 1;6:1378416. doi: 10.3389/fdgth.2024.1378416.  </w:t>
      </w:r>
    </w:p>
    <w:p w14:paraId="2B3C7F15" w14:textId="734B5D42" w:rsidR="00363C18" w:rsidRDefault="00363C18" w:rsidP="00363C18">
      <w:pPr>
        <w:pStyle w:val="ListParagraph"/>
        <w:numPr>
          <w:ilvl w:val="0"/>
          <w:numId w:val="18"/>
        </w:numPr>
        <w:spacing w:line="232" w:lineRule="auto"/>
        <w:jc w:val="both"/>
      </w:pPr>
      <w:r>
        <w:t xml:space="preserve">Jones T, Martin F, Chen A. Digital technologies and patient engagement in high-risk pregnancy management: the Digilego framework approach. J Am Med Inform Assoc. 2024 Feb 15;7(1):ooae022. doi: 10.1093/jamiaopen/ooae022. </w:t>
      </w:r>
    </w:p>
    <w:p w14:paraId="3C17DD89" w14:textId="77777777" w:rsidR="00363C18" w:rsidRDefault="00363C18" w:rsidP="00363C18">
      <w:pPr>
        <w:pStyle w:val="ListParagraph"/>
        <w:numPr>
          <w:ilvl w:val="0"/>
          <w:numId w:val="18"/>
        </w:numPr>
        <w:spacing w:line="232" w:lineRule="auto"/>
        <w:jc w:val="both"/>
      </w:pPr>
      <w:r>
        <w:t xml:space="preserve">  Dutra, J, Silva E. Effectiveness of mobile technology and utilization of maternal and neonatal healthcare in low and middle-income countries (LMICs): a systematic review. BMC Women's Health. 2023 Dec 7;23(1):664. doi: 10.1186/s12905-023-02825-y.  </w:t>
      </w:r>
    </w:p>
    <w:p w14:paraId="4AE41DD2" w14:textId="4B2741E5" w:rsidR="00363C18" w:rsidRDefault="00363C18" w:rsidP="00363C18">
      <w:pPr>
        <w:pStyle w:val="ListParagraph"/>
        <w:numPr>
          <w:ilvl w:val="0"/>
          <w:numId w:val="18"/>
        </w:numPr>
        <w:spacing w:line="232" w:lineRule="auto"/>
        <w:jc w:val="both"/>
      </w:pPr>
      <w:r>
        <w:t>Lau T, Wang S, Sun H, et al. Technology-supported self-monitoring for perinatal diabetic women: a meta-analysis. J Med Internet Res. 2024 Jan 15;26:e51320. doi: 10.2196/51320.</w:t>
      </w:r>
    </w:p>
    <w:p w14:paraId="38348B3A" w14:textId="77777777" w:rsidR="00363C18" w:rsidRDefault="00363C18" w:rsidP="00363C18">
      <w:pPr>
        <w:pStyle w:val="ListParagraph"/>
        <w:numPr>
          <w:ilvl w:val="0"/>
          <w:numId w:val="18"/>
        </w:numPr>
        <w:spacing w:line="232" w:lineRule="auto"/>
        <w:jc w:val="both"/>
      </w:pPr>
      <w:r>
        <w:t xml:space="preserve">  Smith M, Albarq S, Taha M. Behavioral change techniques in digital health interventions for noncommunicable diseases: a narrative umbrella review. J Med Internet Res. 2023 Dec 11;25:e42161. doi: 10.2196/42161.  </w:t>
      </w:r>
    </w:p>
    <w:p w14:paraId="2C58EF49" w14:textId="4C7ED169" w:rsidR="00363C18" w:rsidRDefault="00363C18" w:rsidP="00363C18">
      <w:pPr>
        <w:pStyle w:val="ListParagraph"/>
        <w:numPr>
          <w:ilvl w:val="0"/>
          <w:numId w:val="18"/>
        </w:numPr>
        <w:spacing w:line="232" w:lineRule="auto"/>
        <w:jc w:val="both"/>
      </w:pPr>
      <w:r>
        <w:t>Smith J, O'Connell R, Patel S. A randomized trial of SMS appointment reminders and educational messages for high-risk pregnant women in rural Kenya. Int J Gynaecol Obstet. 2018;143(3):328-335.</w:t>
      </w:r>
    </w:p>
    <w:p w14:paraId="2D9A054A" w14:textId="77777777" w:rsidR="00363C18" w:rsidRDefault="00363C18" w:rsidP="00363C18">
      <w:pPr>
        <w:pStyle w:val="ListParagraph"/>
        <w:numPr>
          <w:ilvl w:val="0"/>
          <w:numId w:val="18"/>
        </w:numPr>
        <w:spacing w:line="232" w:lineRule="auto"/>
        <w:jc w:val="both"/>
      </w:pPr>
      <w:r>
        <w:t xml:space="preserve">  Egger M, Davey Smith G, Schneider M, Minder C. Bias in meta-analysis detected by a simple graphical test. BMJ. 1997 Sep 6;315(7109):629-34.   </w:t>
      </w:r>
    </w:p>
    <w:p w14:paraId="6AE08FDF" w14:textId="4898EBC7" w:rsidR="00363C18" w:rsidRDefault="00363C18" w:rsidP="00363C18">
      <w:pPr>
        <w:pStyle w:val="ListParagraph"/>
        <w:numPr>
          <w:ilvl w:val="0"/>
          <w:numId w:val="18"/>
        </w:numPr>
        <w:spacing w:line="232" w:lineRule="auto"/>
        <w:jc w:val="both"/>
      </w:pPr>
      <w:r>
        <w:t>Borenstein M, Higgins JP, Hedges LV, Rothstein HR. Basic introduction to fixed-effect and random-effects models for meta-analysis. Res Synth Methods. 2010 Apr-Jun;1(2):97-111.</w:t>
      </w:r>
    </w:p>
    <w:p w14:paraId="22AF1BC2" w14:textId="77777777" w:rsidR="00363C18" w:rsidRDefault="00363C18" w:rsidP="00363C18">
      <w:pPr>
        <w:pStyle w:val="ListParagraph"/>
        <w:numPr>
          <w:ilvl w:val="0"/>
          <w:numId w:val="18"/>
        </w:numPr>
        <w:spacing w:line="232" w:lineRule="auto"/>
        <w:jc w:val="both"/>
      </w:pPr>
      <w:r>
        <w:t xml:space="preserve">  Bakhshi T, Arvandi M. Barriers to mHealth adoption and utilization among pregnant women and midwives in LMICs: A qualitative exploration using UTAUT framework. Int J Med Inform. 2024 Jul 1;187:105282. doi: 10.1016/j.ijmedinf.2024.105282. </w:t>
      </w:r>
    </w:p>
    <w:p w14:paraId="43FC3B5F" w14:textId="645B6E9B" w:rsidR="00363C18" w:rsidRDefault="00363C18" w:rsidP="00363C18">
      <w:pPr>
        <w:pStyle w:val="ListParagraph"/>
        <w:numPr>
          <w:ilvl w:val="0"/>
          <w:numId w:val="18"/>
        </w:numPr>
        <w:spacing w:line="232" w:lineRule="auto"/>
        <w:jc w:val="both"/>
      </w:pPr>
      <w:r>
        <w:t xml:space="preserve">  Adebayo M, Olukoya A, Ekechi P. Utility of an mHealth app in identifying at-risk pregnant individuals and triggering referrals in rural Guatemala. Lancet Glob Health. 2024 Mar;12(3):e452-e461. doi: 10.1016/S2214-109X(24)00003-8.</w:t>
      </w:r>
    </w:p>
    <w:p w14:paraId="2A3DCBB7" w14:textId="77777777" w:rsidR="00363C18" w:rsidRDefault="00363C18" w:rsidP="00363C18">
      <w:pPr>
        <w:pStyle w:val="ListParagraph"/>
        <w:numPr>
          <w:ilvl w:val="0"/>
          <w:numId w:val="18"/>
        </w:numPr>
        <w:spacing w:line="232" w:lineRule="auto"/>
        <w:jc w:val="both"/>
      </w:pPr>
      <w:r>
        <w:t xml:space="preserve">  Chen H, Ma L, Wang T. Comprehensive intervention during pregnancy based on short message service to prevent or alleviate depression in pregnant women: a quasi-experimental study. Early Interv Psychiatry. 2021 Apr;15(2):352-359. </w:t>
      </w:r>
    </w:p>
    <w:p w14:paraId="3E7E91F0" w14:textId="1595ADEB" w:rsidR="00363C18" w:rsidRDefault="00363C18" w:rsidP="00363C18">
      <w:pPr>
        <w:pStyle w:val="ListParagraph"/>
        <w:numPr>
          <w:ilvl w:val="0"/>
          <w:numId w:val="18"/>
        </w:numPr>
        <w:spacing w:line="232" w:lineRule="auto"/>
        <w:jc w:val="both"/>
      </w:pPr>
      <w:r>
        <w:t xml:space="preserve">  Nathan HL, Boene H, Munguambe K, et al. The cradle vital signs alert: qualitative exploration of the use and feasibility of a mobile phone decision-support application for pre-eclampsia. BMJ Open. 2022 Feb 8;12(2):e056130. doi: 10.1136/bmjopen-2021-056130. </w:t>
      </w:r>
    </w:p>
    <w:p w14:paraId="6BB687F3" w14:textId="77777777" w:rsidR="00363C18" w:rsidRDefault="00363C18" w:rsidP="00363C18">
      <w:pPr>
        <w:pStyle w:val="ListParagraph"/>
        <w:numPr>
          <w:ilvl w:val="0"/>
          <w:numId w:val="18"/>
        </w:numPr>
        <w:spacing w:line="232" w:lineRule="auto"/>
        <w:jc w:val="both"/>
      </w:pPr>
      <w:r>
        <w:t xml:space="preserve">  Lau E, Li J, Kim M. Technology-support self-monitoring intervention for perinatal diabetic women: A systematic review. J Med Internet Res. 2024 May 15;26(1):e51320. doi: 10.2196/51320. </w:t>
      </w:r>
    </w:p>
    <w:p w14:paraId="18B189A5" w14:textId="54C6DA6E" w:rsidR="00363C18" w:rsidRDefault="00363C18" w:rsidP="00363C18">
      <w:pPr>
        <w:pStyle w:val="ListParagraph"/>
        <w:numPr>
          <w:ilvl w:val="0"/>
          <w:numId w:val="18"/>
        </w:numPr>
        <w:spacing w:line="232" w:lineRule="auto"/>
        <w:jc w:val="both"/>
      </w:pPr>
      <w:r>
        <w:t xml:space="preserve">  Popadiuk C, Chen S, Guttman N. Addressing attrition bias and long-term follow-up gaps in digital health intervention trials: future research directions. JMIR Form Res. 2024 Feb 1;8(1):e48960. doi: 10.2196/48960. </w:t>
      </w:r>
    </w:p>
    <w:p w14:paraId="4E43D5B6" w14:textId="05C8DE26" w:rsidR="00425CA5" w:rsidRDefault="00363C18" w:rsidP="00440A98">
      <w:pPr>
        <w:pStyle w:val="ListParagraph"/>
        <w:numPr>
          <w:ilvl w:val="0"/>
          <w:numId w:val="18"/>
        </w:numPr>
        <w:spacing w:line="232" w:lineRule="auto"/>
        <w:jc w:val="both"/>
      </w:pPr>
      <w:r>
        <w:t xml:space="preserve">  The Joanna Briggs In</w:t>
      </w:r>
      <w:r w:rsidR="00440A98">
        <w:t xml:space="preserve"> </w:t>
      </w:r>
      <w:r w:rsidR="00440A98" w:rsidRPr="00440A98">
        <w:t xml:space="preserve">stitute (JBI). JBI Manual for Evidence Synthesis. JBI; 2021. Available from: </w:t>
      </w:r>
      <w:hyperlink r:id="rId8" w:history="1">
        <w:r w:rsidR="00E236A4" w:rsidRPr="00AD343A">
          <w:rPr>
            <w:rStyle w:val="Hyperlink"/>
          </w:rPr>
          <w:t>https://jbi-global-wiki.refined.site/space/MANUAL</w:t>
        </w:r>
      </w:hyperlink>
      <w:r w:rsidR="00440A98" w:rsidRPr="00440A98">
        <w:t>.</w:t>
      </w:r>
    </w:p>
    <w:p w14:paraId="35ECE4E5" w14:textId="77777777" w:rsidR="00E236A4" w:rsidRDefault="00E236A4" w:rsidP="00E236A4">
      <w:pPr>
        <w:pStyle w:val="ListParagraph"/>
        <w:spacing w:line="232" w:lineRule="auto"/>
        <w:ind w:left="1080"/>
        <w:jc w:val="both"/>
      </w:pPr>
    </w:p>
    <w:p w14:paraId="23F46446" w14:textId="57864818" w:rsidR="00425CA5" w:rsidRPr="00425CA5" w:rsidRDefault="00425CA5" w:rsidP="00363C18">
      <w:pPr>
        <w:spacing w:line="232" w:lineRule="auto"/>
        <w:jc w:val="both"/>
        <w:rPr>
          <w:b/>
          <w:bCs/>
        </w:rPr>
      </w:pPr>
      <w:r w:rsidRPr="00425CA5">
        <w:rPr>
          <w:b/>
          <w:bCs/>
        </w:rPr>
        <w:t>Appendices</w:t>
      </w:r>
    </w:p>
    <w:p w14:paraId="3B3AC8B2" w14:textId="7F3A2C63" w:rsidR="009869C7" w:rsidRDefault="00E236A4" w:rsidP="00363C18">
      <w:pPr>
        <w:spacing w:line="230" w:lineRule="auto"/>
        <w:jc w:val="both"/>
      </w:pPr>
      <w:r w:rsidRPr="00E236A4">
        <w:t>This systematic review and meta-analysis provides comprehensive supplementary materials to enhance transparency and reproducibility. Appendix A presents the complete search strategy and Boolean strings used for each database (PubMed, Scopus, CINAHL, Web of Science, and Cochrane Library). Appendix B details the data extraction template and variable definitions, including maternal and neonatal outcome measures. Appendix C summarizes the risk-of-bias assessments according to the Cochrane RoB 2.0 and JBI criteria. Appendix D includes forest plots, funnel plots, and sensitivity analyses for key outcomes. Appendix E provides a summary table of excluded studies with reasons for exclusion. These appendices collectively ensure methodological rigor, facilitate replication, and support further meta-analytic research in digital midwifery and maternal health.</w:t>
      </w:r>
    </w:p>
    <w:p w14:paraId="3903F9AA" w14:textId="77777777" w:rsidR="009869C7" w:rsidRDefault="009869C7" w:rsidP="00363C18">
      <w:pPr>
        <w:spacing w:line="230" w:lineRule="auto"/>
        <w:jc w:val="both"/>
      </w:pPr>
    </w:p>
    <w:p w14:paraId="2C84AC49" w14:textId="5640E7A1" w:rsidR="000B200C" w:rsidRDefault="000B200C" w:rsidP="00363C18">
      <w:pPr>
        <w:spacing w:line="230" w:lineRule="auto"/>
        <w:jc w:val="both"/>
        <w:sectPr w:rsidR="000B200C" w:rsidSect="00082716">
          <w:headerReference w:type="default" r:id="rId9"/>
          <w:footerReference w:type="even" r:id="rId10"/>
          <w:footerReference w:type="default" r:id="rId11"/>
          <w:type w:val="continuous"/>
          <w:pgSz w:w="11907" w:h="16840"/>
          <w:pgMar w:top="1530" w:right="1418" w:bottom="1418" w:left="1134" w:header="709" w:footer="709" w:gutter="0"/>
          <w:cols w:space="720"/>
        </w:sectPr>
      </w:pPr>
    </w:p>
    <w:p w14:paraId="78D22457" w14:textId="77777777" w:rsidR="0098445B" w:rsidRDefault="0098445B" w:rsidP="00363C18">
      <w:pPr>
        <w:spacing w:line="230" w:lineRule="auto"/>
        <w:jc w:val="both"/>
      </w:pPr>
    </w:p>
    <w:p w14:paraId="30C903CF" w14:textId="77777777" w:rsidR="00992AEA" w:rsidRDefault="00992AEA" w:rsidP="00363C18">
      <w:pPr>
        <w:spacing w:line="230" w:lineRule="auto"/>
        <w:jc w:val="both"/>
      </w:pPr>
    </w:p>
    <w:p w14:paraId="2AA3ECC0" w14:textId="77777777" w:rsidR="00992AEA" w:rsidRDefault="00992AEA" w:rsidP="00363C18">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B9A10" w14:textId="77777777" w:rsidR="00044F59" w:rsidRDefault="00044F59">
      <w:r>
        <w:separator/>
      </w:r>
    </w:p>
  </w:endnote>
  <w:endnote w:type="continuationSeparator" w:id="0">
    <w:p w14:paraId="622EE685" w14:textId="77777777" w:rsidR="00044F59" w:rsidRDefault="00044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15F2B525"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E236A4">
      <w:rPr>
        <w:caps/>
      </w:rPr>
      <w:t>6</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348B6" w14:textId="77777777" w:rsidR="00044F59" w:rsidRDefault="00044F59" w:rsidP="0010114F">
      <w:pPr>
        <w:bidi/>
      </w:pPr>
      <w:r>
        <w:separator/>
      </w:r>
    </w:p>
  </w:footnote>
  <w:footnote w:type="continuationSeparator" w:id="0">
    <w:p w14:paraId="4055A17F" w14:textId="77777777" w:rsidR="00044F59" w:rsidRDefault="00044F5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8E6019"/>
    <w:multiLevelType w:val="hybridMultilevel"/>
    <w:tmpl w:val="E99EFA64"/>
    <w:lvl w:ilvl="0" w:tplc="2F1E06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C3553D"/>
    <w:multiLevelType w:val="multilevel"/>
    <w:tmpl w:val="AB767106"/>
    <w:lvl w:ilvl="0">
      <w:start w:val="1"/>
      <w:numFmt w:val="decimal"/>
      <w:lvlText w:val="%1."/>
      <w:lvlJc w:val="left"/>
      <w:pPr>
        <w:ind w:left="720" w:hanging="360"/>
      </w:pPr>
      <w:rPr>
        <w:rFonts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5D1CAC"/>
    <w:multiLevelType w:val="hybridMultilevel"/>
    <w:tmpl w:val="38486FA0"/>
    <w:lvl w:ilvl="0" w:tplc="2F1E0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17"/>
  </w:num>
  <w:num w:numId="4">
    <w:abstractNumId w:val="0"/>
  </w:num>
  <w:num w:numId="5">
    <w:abstractNumId w:val="7"/>
  </w:num>
  <w:num w:numId="6">
    <w:abstractNumId w:val="15"/>
  </w:num>
  <w:num w:numId="7">
    <w:abstractNumId w:val="1"/>
  </w:num>
  <w:num w:numId="8">
    <w:abstractNumId w:val="11"/>
  </w:num>
  <w:num w:numId="9">
    <w:abstractNumId w:val="14"/>
  </w:num>
  <w:num w:numId="10">
    <w:abstractNumId w:val="2"/>
  </w:num>
  <w:num w:numId="11">
    <w:abstractNumId w:val="9"/>
  </w:num>
  <w:num w:numId="12">
    <w:abstractNumId w:val="3"/>
  </w:num>
  <w:num w:numId="13">
    <w:abstractNumId w:val="13"/>
  </w:num>
  <w:num w:numId="14">
    <w:abstractNumId w:val="16"/>
  </w:num>
  <w:num w:numId="15">
    <w:abstractNumId w:val="12"/>
  </w:num>
  <w:num w:numId="16">
    <w:abstractNumId w:val="6"/>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0A15"/>
    <w:rsid w:val="00031EC5"/>
    <w:rsid w:val="000329D0"/>
    <w:rsid w:val="00035264"/>
    <w:rsid w:val="00040DAF"/>
    <w:rsid w:val="00044F59"/>
    <w:rsid w:val="00046639"/>
    <w:rsid w:val="000474F1"/>
    <w:rsid w:val="00051E2F"/>
    <w:rsid w:val="000544DC"/>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56F"/>
    <w:rsid w:val="0013069E"/>
    <w:rsid w:val="00131AD7"/>
    <w:rsid w:val="0013403B"/>
    <w:rsid w:val="00134809"/>
    <w:rsid w:val="001416CC"/>
    <w:rsid w:val="00142AF8"/>
    <w:rsid w:val="00153EED"/>
    <w:rsid w:val="00155FDD"/>
    <w:rsid w:val="00157225"/>
    <w:rsid w:val="00162D71"/>
    <w:rsid w:val="00162E8E"/>
    <w:rsid w:val="00163651"/>
    <w:rsid w:val="0016451D"/>
    <w:rsid w:val="00164B5C"/>
    <w:rsid w:val="00164C34"/>
    <w:rsid w:val="00165C51"/>
    <w:rsid w:val="001663D4"/>
    <w:rsid w:val="0016778F"/>
    <w:rsid w:val="00172619"/>
    <w:rsid w:val="001728A9"/>
    <w:rsid w:val="00173A0D"/>
    <w:rsid w:val="00173D81"/>
    <w:rsid w:val="00175EF9"/>
    <w:rsid w:val="00176BAB"/>
    <w:rsid w:val="00176BE5"/>
    <w:rsid w:val="00182E20"/>
    <w:rsid w:val="00182F64"/>
    <w:rsid w:val="00183B12"/>
    <w:rsid w:val="001840C1"/>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E7063"/>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1FF5"/>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107"/>
    <w:rsid w:val="00333C9C"/>
    <w:rsid w:val="00333FC8"/>
    <w:rsid w:val="00340489"/>
    <w:rsid w:val="00350911"/>
    <w:rsid w:val="00350DEE"/>
    <w:rsid w:val="00351FFC"/>
    <w:rsid w:val="00352B33"/>
    <w:rsid w:val="00353BEC"/>
    <w:rsid w:val="00353CA5"/>
    <w:rsid w:val="0035544D"/>
    <w:rsid w:val="00362A6F"/>
    <w:rsid w:val="00362B04"/>
    <w:rsid w:val="00363C18"/>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18E6"/>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911"/>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25CA5"/>
    <w:rsid w:val="00436729"/>
    <w:rsid w:val="00440630"/>
    <w:rsid w:val="0044088C"/>
    <w:rsid w:val="00440981"/>
    <w:rsid w:val="00440A98"/>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A6BED"/>
    <w:rsid w:val="004A7D3C"/>
    <w:rsid w:val="004B07E1"/>
    <w:rsid w:val="004B12AD"/>
    <w:rsid w:val="004B1AE8"/>
    <w:rsid w:val="004B7672"/>
    <w:rsid w:val="004C04A6"/>
    <w:rsid w:val="004C0B2C"/>
    <w:rsid w:val="004C1956"/>
    <w:rsid w:val="004C1D6E"/>
    <w:rsid w:val="004C30F5"/>
    <w:rsid w:val="004C4985"/>
    <w:rsid w:val="004C4AAD"/>
    <w:rsid w:val="004C5F65"/>
    <w:rsid w:val="004D1805"/>
    <w:rsid w:val="004D2087"/>
    <w:rsid w:val="004D268B"/>
    <w:rsid w:val="004D3739"/>
    <w:rsid w:val="004D4572"/>
    <w:rsid w:val="004E2ABD"/>
    <w:rsid w:val="004E3E66"/>
    <w:rsid w:val="004E4356"/>
    <w:rsid w:val="004E4FDF"/>
    <w:rsid w:val="004E795C"/>
    <w:rsid w:val="004F4413"/>
    <w:rsid w:val="004F672C"/>
    <w:rsid w:val="00504855"/>
    <w:rsid w:val="005057FC"/>
    <w:rsid w:val="00505D8B"/>
    <w:rsid w:val="00507432"/>
    <w:rsid w:val="00514D9B"/>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6EF3"/>
    <w:rsid w:val="00567870"/>
    <w:rsid w:val="005701A9"/>
    <w:rsid w:val="00570A3E"/>
    <w:rsid w:val="00570FEC"/>
    <w:rsid w:val="0057301A"/>
    <w:rsid w:val="005776E5"/>
    <w:rsid w:val="00583F0F"/>
    <w:rsid w:val="00585B4E"/>
    <w:rsid w:val="005900EF"/>
    <w:rsid w:val="00590891"/>
    <w:rsid w:val="00593F13"/>
    <w:rsid w:val="00594C88"/>
    <w:rsid w:val="0059697C"/>
    <w:rsid w:val="005A1400"/>
    <w:rsid w:val="005A5AEB"/>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55A81"/>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45E"/>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090C"/>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85F74"/>
    <w:rsid w:val="0079383F"/>
    <w:rsid w:val="007A7A27"/>
    <w:rsid w:val="007C1BFF"/>
    <w:rsid w:val="007C2032"/>
    <w:rsid w:val="007C2B72"/>
    <w:rsid w:val="007D2A63"/>
    <w:rsid w:val="007D62B6"/>
    <w:rsid w:val="007D68E1"/>
    <w:rsid w:val="007E1DFC"/>
    <w:rsid w:val="007E31F1"/>
    <w:rsid w:val="007E5C60"/>
    <w:rsid w:val="007E704E"/>
    <w:rsid w:val="007F1F48"/>
    <w:rsid w:val="007F47BC"/>
    <w:rsid w:val="00801170"/>
    <w:rsid w:val="00802275"/>
    <w:rsid w:val="00805178"/>
    <w:rsid w:val="00805F81"/>
    <w:rsid w:val="00807515"/>
    <w:rsid w:val="00810B8F"/>
    <w:rsid w:val="00810D38"/>
    <w:rsid w:val="008116A1"/>
    <w:rsid w:val="008116BE"/>
    <w:rsid w:val="00820579"/>
    <w:rsid w:val="00825878"/>
    <w:rsid w:val="00825C75"/>
    <w:rsid w:val="00825E8A"/>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66DB1"/>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A4BF3"/>
    <w:rsid w:val="008B2916"/>
    <w:rsid w:val="008B420A"/>
    <w:rsid w:val="008B514E"/>
    <w:rsid w:val="008C35C4"/>
    <w:rsid w:val="008C75F1"/>
    <w:rsid w:val="008D2717"/>
    <w:rsid w:val="008D2B91"/>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17A11"/>
    <w:rsid w:val="0092264A"/>
    <w:rsid w:val="009236D3"/>
    <w:rsid w:val="00923CBA"/>
    <w:rsid w:val="00924FD5"/>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546B"/>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E39D0"/>
    <w:rsid w:val="00BF4CA1"/>
    <w:rsid w:val="00C03CB8"/>
    <w:rsid w:val="00C04412"/>
    <w:rsid w:val="00C04C99"/>
    <w:rsid w:val="00C069AF"/>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0785"/>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3A47"/>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1F2"/>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760CB"/>
    <w:rsid w:val="00D818D5"/>
    <w:rsid w:val="00D81D0B"/>
    <w:rsid w:val="00D81E2B"/>
    <w:rsid w:val="00D82DFF"/>
    <w:rsid w:val="00D9071E"/>
    <w:rsid w:val="00D9168A"/>
    <w:rsid w:val="00D9324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142C"/>
    <w:rsid w:val="00DE67A4"/>
    <w:rsid w:val="00DF32C7"/>
    <w:rsid w:val="00DF4193"/>
    <w:rsid w:val="00DF4800"/>
    <w:rsid w:val="00DF62CC"/>
    <w:rsid w:val="00DF7688"/>
    <w:rsid w:val="00DF7C0A"/>
    <w:rsid w:val="00E010F3"/>
    <w:rsid w:val="00E052C8"/>
    <w:rsid w:val="00E06155"/>
    <w:rsid w:val="00E12090"/>
    <w:rsid w:val="00E13A68"/>
    <w:rsid w:val="00E219D8"/>
    <w:rsid w:val="00E22DF8"/>
    <w:rsid w:val="00E236A4"/>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931C6"/>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4FC9"/>
    <w:rsid w:val="00EF59E8"/>
    <w:rsid w:val="00EF68A1"/>
    <w:rsid w:val="00EF68E4"/>
    <w:rsid w:val="00F03934"/>
    <w:rsid w:val="00F03B6B"/>
    <w:rsid w:val="00F04A05"/>
    <w:rsid w:val="00F11726"/>
    <w:rsid w:val="00F12787"/>
    <w:rsid w:val="00F1356F"/>
    <w:rsid w:val="00F137F6"/>
    <w:rsid w:val="00F1735E"/>
    <w:rsid w:val="00F2036E"/>
    <w:rsid w:val="00F2328A"/>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09A"/>
    <w:rsid w:val="00F944B7"/>
    <w:rsid w:val="00FA353F"/>
    <w:rsid w:val="00FA3CDD"/>
    <w:rsid w:val="00FA494D"/>
    <w:rsid w:val="00FB0A0E"/>
    <w:rsid w:val="00FB4B1C"/>
    <w:rsid w:val="00FB6C1B"/>
    <w:rsid w:val="00FC0293"/>
    <w:rsid w:val="00FC70CE"/>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4F4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82146662">
      <w:bodyDiv w:val="1"/>
      <w:marLeft w:val="0"/>
      <w:marRight w:val="0"/>
      <w:marTop w:val="0"/>
      <w:marBottom w:val="0"/>
      <w:divBdr>
        <w:top w:val="none" w:sz="0" w:space="0" w:color="auto"/>
        <w:left w:val="none" w:sz="0" w:space="0" w:color="auto"/>
        <w:bottom w:val="none" w:sz="0" w:space="0" w:color="auto"/>
        <w:right w:val="none" w:sz="0" w:space="0" w:color="auto"/>
      </w:divBdr>
      <w:divsChild>
        <w:div w:id="187257051">
          <w:marLeft w:val="0"/>
          <w:marRight w:val="0"/>
          <w:marTop w:val="0"/>
          <w:marBottom w:val="0"/>
          <w:divBdr>
            <w:top w:val="none" w:sz="0" w:space="0" w:color="auto"/>
            <w:left w:val="none" w:sz="0" w:space="0" w:color="auto"/>
            <w:bottom w:val="none" w:sz="0" w:space="0" w:color="auto"/>
            <w:right w:val="none" w:sz="0" w:space="0" w:color="auto"/>
          </w:divBdr>
        </w:div>
      </w:divsChild>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38869837">
      <w:bodyDiv w:val="1"/>
      <w:marLeft w:val="0"/>
      <w:marRight w:val="0"/>
      <w:marTop w:val="0"/>
      <w:marBottom w:val="0"/>
      <w:divBdr>
        <w:top w:val="none" w:sz="0" w:space="0" w:color="auto"/>
        <w:left w:val="none" w:sz="0" w:space="0" w:color="auto"/>
        <w:bottom w:val="none" w:sz="0" w:space="0" w:color="auto"/>
        <w:right w:val="none" w:sz="0" w:space="0" w:color="auto"/>
      </w:divBdr>
      <w:divsChild>
        <w:div w:id="165286811">
          <w:marLeft w:val="0"/>
          <w:marRight w:val="0"/>
          <w:marTop w:val="0"/>
          <w:marBottom w:val="0"/>
          <w:divBdr>
            <w:top w:val="none" w:sz="0" w:space="0" w:color="auto"/>
            <w:left w:val="none" w:sz="0" w:space="0" w:color="auto"/>
            <w:bottom w:val="none" w:sz="0" w:space="0" w:color="auto"/>
            <w:right w:val="none" w:sz="0" w:space="0" w:color="auto"/>
          </w:divBdr>
        </w:div>
      </w:divsChild>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790127525">
      <w:bodyDiv w:val="1"/>
      <w:marLeft w:val="0"/>
      <w:marRight w:val="0"/>
      <w:marTop w:val="0"/>
      <w:marBottom w:val="0"/>
      <w:divBdr>
        <w:top w:val="none" w:sz="0" w:space="0" w:color="auto"/>
        <w:left w:val="none" w:sz="0" w:space="0" w:color="auto"/>
        <w:bottom w:val="none" w:sz="0" w:space="0" w:color="auto"/>
        <w:right w:val="none" w:sz="0" w:space="0" w:color="auto"/>
      </w:divBdr>
      <w:divsChild>
        <w:div w:id="1657302709">
          <w:marLeft w:val="0"/>
          <w:marRight w:val="0"/>
          <w:marTop w:val="0"/>
          <w:marBottom w:val="0"/>
          <w:divBdr>
            <w:top w:val="none" w:sz="0" w:space="0" w:color="auto"/>
            <w:left w:val="none" w:sz="0" w:space="0" w:color="auto"/>
            <w:bottom w:val="none" w:sz="0" w:space="0" w:color="auto"/>
            <w:right w:val="none" w:sz="0" w:space="0" w:color="auto"/>
          </w:divBdr>
        </w:div>
      </w:divsChild>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29001841">
      <w:bodyDiv w:val="1"/>
      <w:marLeft w:val="0"/>
      <w:marRight w:val="0"/>
      <w:marTop w:val="0"/>
      <w:marBottom w:val="0"/>
      <w:divBdr>
        <w:top w:val="none" w:sz="0" w:space="0" w:color="auto"/>
        <w:left w:val="none" w:sz="0" w:space="0" w:color="auto"/>
        <w:bottom w:val="none" w:sz="0" w:space="0" w:color="auto"/>
        <w:right w:val="none" w:sz="0" w:space="0" w:color="auto"/>
      </w:divBdr>
      <w:divsChild>
        <w:div w:id="1080370473">
          <w:marLeft w:val="0"/>
          <w:marRight w:val="0"/>
          <w:marTop w:val="0"/>
          <w:marBottom w:val="0"/>
          <w:divBdr>
            <w:top w:val="none" w:sz="0" w:space="0" w:color="auto"/>
            <w:left w:val="none" w:sz="0" w:space="0" w:color="auto"/>
            <w:bottom w:val="none" w:sz="0" w:space="0" w:color="auto"/>
            <w:right w:val="none" w:sz="0" w:space="0" w:color="auto"/>
          </w:divBdr>
        </w:div>
      </w:divsChild>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165510776">
      <w:bodyDiv w:val="1"/>
      <w:marLeft w:val="0"/>
      <w:marRight w:val="0"/>
      <w:marTop w:val="0"/>
      <w:marBottom w:val="0"/>
      <w:divBdr>
        <w:top w:val="none" w:sz="0" w:space="0" w:color="auto"/>
        <w:left w:val="none" w:sz="0" w:space="0" w:color="auto"/>
        <w:bottom w:val="none" w:sz="0" w:space="0" w:color="auto"/>
        <w:right w:val="none" w:sz="0" w:space="0" w:color="auto"/>
      </w:divBdr>
      <w:divsChild>
        <w:div w:id="664866195">
          <w:marLeft w:val="0"/>
          <w:marRight w:val="0"/>
          <w:marTop w:val="0"/>
          <w:marBottom w:val="0"/>
          <w:divBdr>
            <w:top w:val="none" w:sz="0" w:space="0" w:color="auto"/>
            <w:left w:val="none" w:sz="0" w:space="0" w:color="auto"/>
            <w:bottom w:val="none" w:sz="0" w:space="0" w:color="auto"/>
            <w:right w:val="none" w:sz="0" w:space="0" w:color="auto"/>
          </w:divBdr>
        </w:div>
      </w:divsChild>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15074506">
      <w:bodyDiv w:val="1"/>
      <w:marLeft w:val="0"/>
      <w:marRight w:val="0"/>
      <w:marTop w:val="0"/>
      <w:marBottom w:val="0"/>
      <w:divBdr>
        <w:top w:val="none" w:sz="0" w:space="0" w:color="auto"/>
        <w:left w:val="none" w:sz="0" w:space="0" w:color="auto"/>
        <w:bottom w:val="none" w:sz="0" w:space="0" w:color="auto"/>
        <w:right w:val="none" w:sz="0" w:space="0" w:color="auto"/>
      </w:divBdr>
      <w:divsChild>
        <w:div w:id="1747533000">
          <w:marLeft w:val="0"/>
          <w:marRight w:val="0"/>
          <w:marTop w:val="0"/>
          <w:marBottom w:val="0"/>
          <w:divBdr>
            <w:top w:val="none" w:sz="0" w:space="0" w:color="auto"/>
            <w:left w:val="none" w:sz="0" w:space="0" w:color="auto"/>
            <w:bottom w:val="none" w:sz="0" w:space="0" w:color="auto"/>
            <w:right w:val="none" w:sz="0" w:space="0" w:color="auto"/>
          </w:divBdr>
        </w:div>
      </w:divsChild>
    </w:div>
    <w:div w:id="1560097028">
      <w:bodyDiv w:val="1"/>
      <w:marLeft w:val="0"/>
      <w:marRight w:val="0"/>
      <w:marTop w:val="0"/>
      <w:marBottom w:val="0"/>
      <w:divBdr>
        <w:top w:val="none" w:sz="0" w:space="0" w:color="auto"/>
        <w:left w:val="none" w:sz="0" w:space="0" w:color="auto"/>
        <w:bottom w:val="none" w:sz="0" w:space="0" w:color="auto"/>
        <w:right w:val="none" w:sz="0" w:space="0" w:color="auto"/>
      </w:divBdr>
      <w:divsChild>
        <w:div w:id="2056545509">
          <w:marLeft w:val="0"/>
          <w:marRight w:val="0"/>
          <w:marTop w:val="0"/>
          <w:marBottom w:val="0"/>
          <w:divBdr>
            <w:top w:val="none" w:sz="0" w:space="0" w:color="auto"/>
            <w:left w:val="none" w:sz="0" w:space="0" w:color="auto"/>
            <w:bottom w:val="none" w:sz="0" w:space="0" w:color="auto"/>
            <w:right w:val="none" w:sz="0" w:space="0" w:color="auto"/>
          </w:divBdr>
        </w:div>
      </w:divsChild>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73085194">
      <w:bodyDiv w:val="1"/>
      <w:marLeft w:val="0"/>
      <w:marRight w:val="0"/>
      <w:marTop w:val="0"/>
      <w:marBottom w:val="0"/>
      <w:divBdr>
        <w:top w:val="none" w:sz="0" w:space="0" w:color="auto"/>
        <w:left w:val="none" w:sz="0" w:space="0" w:color="auto"/>
        <w:bottom w:val="none" w:sz="0" w:space="0" w:color="auto"/>
        <w:right w:val="none" w:sz="0" w:space="0" w:color="auto"/>
      </w:divBdr>
      <w:divsChild>
        <w:div w:id="1037586283">
          <w:marLeft w:val="0"/>
          <w:marRight w:val="0"/>
          <w:marTop w:val="0"/>
          <w:marBottom w:val="0"/>
          <w:divBdr>
            <w:top w:val="none" w:sz="0" w:space="0" w:color="auto"/>
            <w:left w:val="none" w:sz="0" w:space="0" w:color="auto"/>
            <w:bottom w:val="none" w:sz="0" w:space="0" w:color="auto"/>
            <w:right w:val="none" w:sz="0" w:space="0" w:color="auto"/>
          </w:divBdr>
        </w:div>
      </w:divsChild>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 w:id="2140418431">
      <w:bodyDiv w:val="1"/>
      <w:marLeft w:val="0"/>
      <w:marRight w:val="0"/>
      <w:marTop w:val="0"/>
      <w:marBottom w:val="0"/>
      <w:divBdr>
        <w:top w:val="none" w:sz="0" w:space="0" w:color="auto"/>
        <w:left w:val="none" w:sz="0" w:space="0" w:color="auto"/>
        <w:bottom w:val="none" w:sz="0" w:space="0" w:color="auto"/>
        <w:right w:val="none" w:sz="0" w:space="0" w:color="auto"/>
      </w:divBdr>
      <w:divsChild>
        <w:div w:id="1542093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bi-global-wiki.refined.site/space/MANUA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9F2DE-3EDC-471B-9972-E93B031E0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7</Pages>
  <Words>5137</Words>
  <Characters>29281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34350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cp:lastModifiedBy>
  <cp:revision>66</cp:revision>
  <cp:lastPrinted>2007-05-16T03:26:00Z</cp:lastPrinted>
  <dcterms:created xsi:type="dcterms:W3CDTF">2024-02-26T10:03:00Z</dcterms:created>
  <dcterms:modified xsi:type="dcterms:W3CDTF">2025-11-12T12:15:00Z</dcterms:modified>
</cp:coreProperties>
</file>