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363C18">
      <w:pPr>
        <w:pStyle w:val="Title"/>
        <w:bidi w:val="0"/>
        <w:jc w:val="both"/>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47BD0962" w14:textId="77777777" w:rsidR="00AB6379" w:rsidRDefault="00AB6379" w:rsidP="00363C18">
      <w:pPr>
        <w:jc w:val="center"/>
        <w:rPr>
          <w:rFonts w:cs="Nazanin"/>
          <w:sz w:val="28"/>
          <w:szCs w:val="36"/>
          <w:rtl/>
        </w:rPr>
      </w:pPr>
      <w:r w:rsidRPr="00AB6379">
        <w:rPr>
          <w:rFonts w:cs="Nazanin"/>
          <w:sz w:val="28"/>
          <w:szCs w:val="36"/>
        </w:rPr>
        <w:t>The Effectiveness of Mindfulness-Based Interventions on Anxiety and Depression among Patients with Chronic Pain: A Systematic Review and Meta-Analysis</w:t>
      </w:r>
    </w:p>
    <w:p w14:paraId="3DC8624D" w14:textId="2407510C" w:rsidR="00747DF5" w:rsidRDefault="00747DF5" w:rsidP="00363C18">
      <w:pPr>
        <w:jc w:val="center"/>
        <w:rPr>
          <w:rFonts w:cs="Nazanin"/>
          <w:sz w:val="28"/>
          <w:szCs w:val="36"/>
        </w:rPr>
      </w:pPr>
      <w:r w:rsidRPr="00747DF5">
        <w:rPr>
          <w:rFonts w:cs="Nazanin"/>
          <w:b/>
          <w:bCs/>
        </w:rPr>
        <w:t>First Author</w:t>
      </w:r>
      <w:r w:rsidR="0044088C">
        <w:rPr>
          <w:rFonts w:cs="Nazanin"/>
          <w:b/>
          <w:bCs/>
        </w:rPr>
        <w:t>:</w:t>
      </w:r>
      <w:r w:rsidRPr="00747DF5">
        <w:rPr>
          <w:rFonts w:cs="Nazanin"/>
          <w:b/>
          <w:bCs/>
        </w:rPr>
        <w:t xml:space="preserve"> </w:t>
      </w:r>
      <w:r w:rsidR="0044088C">
        <w:rPr>
          <w:rFonts w:cs="Nazanin"/>
          <w:szCs w:val="24"/>
        </w:rPr>
        <w:t>Sana Mahdian Rizi</w:t>
      </w:r>
    </w:p>
    <w:p w14:paraId="70FD0AA5" w14:textId="281C3533" w:rsidR="00747DF5" w:rsidRPr="00747DF5" w:rsidRDefault="00747DF5" w:rsidP="00363C18">
      <w:pPr>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44088C" w:rsidRPr="0044088C">
        <w:rPr>
          <w:rFonts w:cs="Nazanin"/>
          <w:sz w:val="16"/>
        </w:rPr>
        <w:t>Students Research Committee, Neyshabur University of Medical Sciences, Neyshabur, Iran</w:t>
      </w:r>
    </w:p>
    <w:p w14:paraId="777EB59F" w14:textId="77777777" w:rsidR="00F728DC" w:rsidRDefault="00F728DC" w:rsidP="00363C18">
      <w:pPr>
        <w:pStyle w:val="Heading2"/>
        <w:bidi w:val="0"/>
        <w:ind w:left="567" w:right="567"/>
        <w:jc w:val="both"/>
        <w:rPr>
          <w:rFonts w:cs="Nazanin"/>
          <w:sz w:val="28"/>
          <w:szCs w:val="28"/>
        </w:rPr>
      </w:pPr>
    </w:p>
    <w:p w14:paraId="530A8E72" w14:textId="77777777" w:rsidR="00B55AB2" w:rsidRPr="00D26024" w:rsidRDefault="0016451D" w:rsidP="00363C18">
      <w:pPr>
        <w:pStyle w:val="Heading2"/>
        <w:bidi w:val="0"/>
        <w:ind w:left="567" w:right="567"/>
        <w:jc w:val="both"/>
        <w:rPr>
          <w:rFonts w:cs="Nazanin"/>
        </w:rPr>
      </w:pPr>
      <w:r w:rsidRPr="00D26024">
        <w:rPr>
          <w:rFonts w:cs="Nazanin"/>
        </w:rPr>
        <w:t>Abstract</w:t>
      </w:r>
    </w:p>
    <w:p w14:paraId="4C03103C" w14:textId="196F241F" w:rsidR="00446439" w:rsidRDefault="00AB6379" w:rsidP="00AB6379">
      <w:pPr>
        <w:jc w:val="both"/>
        <w:rPr>
          <w:rtl/>
        </w:rPr>
      </w:pPr>
      <w:bookmarkStart w:id="4" w:name="OLE_LINK8"/>
      <w:bookmarkStart w:id="5" w:name="OLE_LINK9"/>
      <w:r w:rsidRPr="00AB6379">
        <w:t>Background: Chronic pain is a debilitating condition frequently accompanied by significant psychological distress, notably anxiety and depression. Mindfulness-Based Interventions (MBIs) are widely employed as non-pharmacological therapies. This systematic review and meta-analysis aimed to precisely quantify the efficacy of MBIs in reducing symptoms of anxiety and depression among adult patients with various chronic pain syndromes.Methods: This review adhered to the PRISMA 2020 and Cochrane guidelines</w:t>
      </w:r>
      <w:r>
        <w:rPr>
          <w:rFonts w:hint="cs"/>
          <w:rtl/>
        </w:rPr>
        <w:t xml:space="preserve">. </w:t>
      </w:r>
      <w:r w:rsidRPr="00AB6379">
        <w:t>A systematic search was performed across PubMed, Embase, Web of Science, and PsycINFO up to September 2023 for Randomized Controlled Trials (RCTs) comparing MBIs against any control for chronic pain patients. The Cochrane Risk of Bias tool 2.0 (RoB 2) was used for quality appraisal. Data were synthesized using a random-effects model, calculating the Standardized Mean Difference (SMD) and 95% Confidence Intervals (CI). Heterogeneity was assessed using the I^2 statistic, and publication bias was assessed via Egger’s test.Results: Twenty-five RCTs involving 2,450 participants were included. The meta-analysis demonstrated a moderate, statistically significant reduction in anxiety scores for MBI groups compared to controls (SMD = -0.48; 95% CI: -0.65 to -0.31; p &lt; 0.001). A similar, robust effect was found for depression (SMD = -0.55; 95% CI: -0.70 to -0.40; p &lt; 0.001). Substantial heterogeneity was present for both outcomes (I^2 \approx 70\%). Subgroup analysis confirmed that effect sizes were significantly larger when MBIs were compared to inactive controls (e.g., waitlist) than to active controls (e.g., CBT or psychoeducation), suggesting a role for non-specific therapeutic factors. Egger’s test indicated potential publication bias.Conclusion: MBIs offer a moderately effective psychological treatment for mitigating anxiety and depression symptoms in the chronic pain population. These findings support the integration of structured MBIs into multidisciplinary pain management protocols. Future research should prioritize high-quality RCTs comparing MBIs directly against established active psychological therapies to isolate the specific benefits of mindfulness.</w:t>
      </w:r>
    </w:p>
    <w:p w14:paraId="57C97162" w14:textId="77777777" w:rsidR="00AB6379" w:rsidRPr="00D14553" w:rsidRDefault="00AB6379" w:rsidP="00AB6379">
      <w:pPr>
        <w:jc w:val="both"/>
        <w:rPr>
          <w:rFonts w:cs="Nazanin"/>
          <w:b/>
          <w:bCs/>
          <w:sz w:val="28"/>
          <w:szCs w:val="32"/>
          <w:rtl/>
          <w:lang w:bidi="fa-IR"/>
        </w:rPr>
      </w:pPr>
    </w:p>
    <w:p w14:paraId="7A7AA35B" w14:textId="4E59A222" w:rsidR="00C40785" w:rsidRDefault="00D26024" w:rsidP="00AB6379">
      <w:pPr>
        <w:pStyle w:val="Heading2"/>
        <w:bidi w:val="0"/>
        <w:ind w:left="567" w:right="567"/>
        <w:jc w:val="both"/>
        <w:rPr>
          <w:rFonts w:cs="Nazanin"/>
          <w:b w:val="0"/>
          <w:bCs w:val="0"/>
          <w:sz w:val="28"/>
          <w:szCs w:val="32"/>
          <w:lang w:bidi="fa-IR"/>
        </w:rPr>
      </w:pPr>
      <w:r w:rsidRPr="00D26024">
        <w:rPr>
          <w:rFonts w:cs="Nazanin"/>
        </w:rPr>
        <w:t>Keywords</w:t>
      </w:r>
      <w:r w:rsidRPr="00D26024">
        <w:rPr>
          <w:rFonts w:cs="Traditional Arabic"/>
          <w:b w:val="0"/>
          <w:bCs w:val="0"/>
          <w:sz w:val="20"/>
          <w:szCs w:val="20"/>
        </w:rPr>
        <w:t xml:space="preserve">: </w:t>
      </w:r>
      <w:r w:rsidR="00AB6379" w:rsidRPr="00AB6379">
        <w:rPr>
          <w:rFonts w:cs="Traditional Arabic"/>
          <w:b w:val="0"/>
          <w:bCs w:val="0"/>
          <w:sz w:val="20"/>
          <w:szCs w:val="20"/>
        </w:rPr>
        <w:t>Mindfulness-Based Interventions; Chronic Pain; Anxiety; Depression; Systematic Review; Meta-Analysis.</w:t>
      </w:r>
    </w:p>
    <w:p w14:paraId="2F228C09" w14:textId="0B6DA90C" w:rsidR="00C40785" w:rsidRDefault="00C40785" w:rsidP="00363C18">
      <w:pPr>
        <w:jc w:val="both"/>
        <w:rPr>
          <w:rFonts w:cs="Nazanin"/>
          <w:b/>
          <w:bCs/>
          <w:sz w:val="28"/>
          <w:szCs w:val="32"/>
          <w:lang w:bidi="fa-IR"/>
        </w:rPr>
      </w:pPr>
    </w:p>
    <w:p w14:paraId="08FAEA89" w14:textId="2272A0FB" w:rsidR="00C40785" w:rsidRDefault="00C40785" w:rsidP="00363C18">
      <w:pPr>
        <w:jc w:val="both"/>
        <w:rPr>
          <w:rFonts w:cs="Nazanin"/>
          <w:b/>
          <w:bCs/>
          <w:sz w:val="28"/>
          <w:szCs w:val="32"/>
          <w:lang w:bidi="fa-IR"/>
        </w:rPr>
      </w:pPr>
    </w:p>
    <w:p w14:paraId="2296856B" w14:textId="177A5672" w:rsidR="00C40785" w:rsidRDefault="00C40785" w:rsidP="00363C18">
      <w:pPr>
        <w:jc w:val="both"/>
        <w:rPr>
          <w:rFonts w:cs="Nazanin"/>
          <w:b/>
          <w:bCs/>
          <w:sz w:val="28"/>
          <w:szCs w:val="32"/>
          <w:lang w:bidi="fa-IR"/>
        </w:rPr>
      </w:pPr>
    </w:p>
    <w:p w14:paraId="4B5302D8" w14:textId="29440F50" w:rsidR="00C40785" w:rsidRDefault="00C40785" w:rsidP="00363C18">
      <w:pPr>
        <w:jc w:val="both"/>
        <w:rPr>
          <w:rFonts w:cs="Nazanin"/>
          <w:b/>
          <w:bCs/>
          <w:sz w:val="28"/>
          <w:szCs w:val="32"/>
          <w:lang w:bidi="fa-IR"/>
        </w:rPr>
      </w:pPr>
    </w:p>
    <w:p w14:paraId="330C45EE" w14:textId="1795E17D" w:rsidR="00C40785" w:rsidRDefault="00C40785" w:rsidP="00363C18">
      <w:pPr>
        <w:jc w:val="both"/>
        <w:rPr>
          <w:rFonts w:cs="Nazanin"/>
          <w:b/>
          <w:bCs/>
          <w:sz w:val="28"/>
          <w:szCs w:val="32"/>
          <w:lang w:bidi="fa-IR"/>
        </w:rPr>
      </w:pPr>
    </w:p>
    <w:p w14:paraId="6BF826F0" w14:textId="26A77EAB" w:rsidR="00C40785" w:rsidRDefault="00C40785" w:rsidP="00363C18">
      <w:pPr>
        <w:jc w:val="both"/>
        <w:rPr>
          <w:rFonts w:cs="Nazanin"/>
          <w:b/>
          <w:bCs/>
          <w:sz w:val="28"/>
          <w:szCs w:val="32"/>
          <w:lang w:bidi="fa-IR"/>
        </w:rPr>
      </w:pPr>
    </w:p>
    <w:p w14:paraId="02B32717" w14:textId="1F4190F6" w:rsidR="00446439" w:rsidRDefault="00446439" w:rsidP="00363C18">
      <w:pPr>
        <w:jc w:val="both"/>
        <w:rPr>
          <w:rFonts w:cs="Nazanin"/>
          <w:b/>
          <w:bCs/>
          <w:sz w:val="28"/>
          <w:szCs w:val="32"/>
          <w:lang w:bidi="fa-IR"/>
        </w:rPr>
      </w:pPr>
    </w:p>
    <w:p w14:paraId="3162FC6B" w14:textId="0961E572" w:rsidR="00446439" w:rsidRDefault="00446439" w:rsidP="00363C18">
      <w:pPr>
        <w:jc w:val="both"/>
        <w:rPr>
          <w:rFonts w:cs="Nazanin"/>
          <w:b/>
          <w:bCs/>
          <w:sz w:val="28"/>
          <w:szCs w:val="32"/>
          <w:lang w:bidi="fa-IR"/>
        </w:rPr>
      </w:pPr>
    </w:p>
    <w:p w14:paraId="0BABFFF6" w14:textId="4EAE3307" w:rsidR="00446439" w:rsidRDefault="00446439" w:rsidP="00363C18">
      <w:pPr>
        <w:jc w:val="both"/>
        <w:rPr>
          <w:rFonts w:cs="Nazanin"/>
          <w:b/>
          <w:bCs/>
          <w:sz w:val="28"/>
          <w:szCs w:val="32"/>
          <w:lang w:bidi="fa-IR"/>
        </w:rPr>
      </w:pPr>
    </w:p>
    <w:p w14:paraId="0BE86179" w14:textId="000D86E1" w:rsidR="00446439" w:rsidRDefault="00446439" w:rsidP="00363C18">
      <w:pPr>
        <w:jc w:val="both"/>
        <w:rPr>
          <w:rFonts w:cs="Nazanin"/>
          <w:b/>
          <w:bCs/>
          <w:sz w:val="28"/>
          <w:szCs w:val="32"/>
          <w:lang w:bidi="fa-IR"/>
        </w:rPr>
      </w:pPr>
    </w:p>
    <w:p w14:paraId="21FC0390" w14:textId="77777777" w:rsidR="00446439" w:rsidRDefault="00446439" w:rsidP="00363C18">
      <w:pPr>
        <w:jc w:val="both"/>
        <w:rPr>
          <w:rFonts w:cs="Nazanin"/>
          <w:b/>
          <w:bCs/>
          <w:sz w:val="28"/>
          <w:szCs w:val="32"/>
          <w:lang w:bidi="fa-IR"/>
        </w:rPr>
      </w:pPr>
    </w:p>
    <w:p w14:paraId="075086AE" w14:textId="1FA84C95" w:rsidR="00C40785" w:rsidRDefault="00C40785" w:rsidP="00363C18">
      <w:pPr>
        <w:jc w:val="both"/>
        <w:rPr>
          <w:rFonts w:cs="Nazanin"/>
          <w:b/>
          <w:bCs/>
          <w:sz w:val="28"/>
          <w:szCs w:val="32"/>
          <w:lang w:bidi="fa-IR"/>
        </w:rPr>
      </w:pPr>
    </w:p>
    <w:p w14:paraId="168EC028" w14:textId="268AD0D6" w:rsidR="00C40785" w:rsidRDefault="00C40785" w:rsidP="00363C18">
      <w:pPr>
        <w:jc w:val="both"/>
        <w:rPr>
          <w:rFonts w:cs="Nazanin"/>
          <w:b/>
          <w:bCs/>
          <w:sz w:val="28"/>
          <w:szCs w:val="32"/>
          <w:rtl/>
          <w:lang w:bidi="fa-IR"/>
        </w:rPr>
      </w:pPr>
    </w:p>
    <w:p w14:paraId="367A7404" w14:textId="77777777" w:rsidR="00AB6379" w:rsidRDefault="00AB6379" w:rsidP="00363C18">
      <w:pPr>
        <w:jc w:val="both"/>
        <w:rPr>
          <w:rFonts w:cs="Nazanin"/>
          <w:b/>
          <w:bCs/>
          <w:sz w:val="28"/>
          <w:szCs w:val="32"/>
          <w:rtl/>
          <w:lang w:bidi="fa-IR"/>
        </w:rPr>
      </w:pPr>
    </w:p>
    <w:p w14:paraId="1F086890" w14:textId="77777777" w:rsidR="008D2B91" w:rsidRDefault="008D2B91" w:rsidP="00363C18">
      <w:pPr>
        <w:jc w:val="both"/>
        <w:rPr>
          <w:rFonts w:cs="Nazanin"/>
          <w:b/>
          <w:bCs/>
          <w:sz w:val="28"/>
          <w:szCs w:val="32"/>
          <w:lang w:bidi="fa-IR"/>
        </w:rPr>
      </w:pPr>
    </w:p>
    <w:p w14:paraId="2316D533" w14:textId="0D284DC5" w:rsidR="00C40785" w:rsidRDefault="00C40785" w:rsidP="00363C18">
      <w:pPr>
        <w:jc w:val="both"/>
        <w:rPr>
          <w:rFonts w:cs="Nazanin"/>
          <w:b/>
          <w:bCs/>
          <w:sz w:val="28"/>
          <w:szCs w:val="32"/>
          <w:lang w:bidi="fa-IR"/>
        </w:rPr>
      </w:pPr>
    </w:p>
    <w:p w14:paraId="75FC6E71" w14:textId="05C80913" w:rsidR="00C40785" w:rsidRDefault="00C40785" w:rsidP="00363C18">
      <w:pPr>
        <w:jc w:val="both"/>
        <w:rPr>
          <w:rFonts w:cs="Nazanin"/>
          <w:b/>
          <w:bCs/>
          <w:sz w:val="28"/>
          <w:szCs w:val="32"/>
          <w:lang w:bidi="fa-IR"/>
        </w:rPr>
      </w:pPr>
    </w:p>
    <w:p w14:paraId="1F4BC014" w14:textId="77777777" w:rsidR="00C40785" w:rsidRDefault="00C40785" w:rsidP="00363C18">
      <w:pPr>
        <w:jc w:val="both"/>
        <w:rPr>
          <w:rFonts w:cs="Nazanin"/>
          <w:b/>
          <w:bCs/>
          <w:sz w:val="28"/>
          <w:szCs w:val="32"/>
          <w:lang w:bidi="fa-IR"/>
        </w:rPr>
      </w:pPr>
    </w:p>
    <w:bookmarkEnd w:id="4"/>
    <w:bookmarkEnd w:id="5"/>
    <w:p w14:paraId="0201F0B5" w14:textId="40BA0E53" w:rsidR="000B200C" w:rsidRPr="004F4413" w:rsidRDefault="000B200C" w:rsidP="00363C18">
      <w:pPr>
        <w:pStyle w:val="ListParagraph"/>
        <w:numPr>
          <w:ilvl w:val="0"/>
          <w:numId w:val="16"/>
        </w:numPr>
        <w:jc w:val="both"/>
        <w:rPr>
          <w:rFonts w:cs="Nazanin"/>
          <w:b/>
          <w:bCs/>
          <w:sz w:val="28"/>
          <w:szCs w:val="32"/>
          <w:lang w:bidi="fa-IR"/>
        </w:rPr>
      </w:pPr>
      <w:r w:rsidRPr="004F4413">
        <w:rPr>
          <w:rFonts w:cs="Nazanin"/>
          <w:b/>
          <w:bCs/>
          <w:lang w:bidi="fa-IR"/>
        </w:rPr>
        <w:lastRenderedPageBreak/>
        <w:t>Introduction</w:t>
      </w:r>
    </w:p>
    <w:p w14:paraId="5BE0071C" w14:textId="77777777" w:rsidR="00AB6379" w:rsidRDefault="00AB6379" w:rsidP="00B64EFF">
      <w:pPr>
        <w:pStyle w:val="ListParagraph"/>
        <w:spacing w:line="232" w:lineRule="auto"/>
        <w:jc w:val="both"/>
        <w:rPr>
          <w:rtl/>
        </w:rPr>
      </w:pPr>
      <w:r w:rsidRPr="00AB6379">
        <w:t>1.1. Context and Clinical SignificanceChronic pain, defined as persistent pain lasting \geq 3 months, represents a major public health challenge affecting up to one in five adults globally [1]. The chronicity of pain frequently leads to a high burden of psychological comorbidities, most notably anxiety and depression, with prevalence rates of Major Depressive Disorder reaching up to 50% in certain pain populations [2]. This pain-distress comorbidity significantly predicts greater pain intensity, functional disability, reduced treatment adherence, and increased healthcare utilization [3]. Effective pain management, therefore, necessitates comprehensive interventions that target both the sensory and the affective-cognitive dimensions of the chronic pain experience.</w:t>
      </w:r>
    </w:p>
    <w:p w14:paraId="24FBF60B" w14:textId="77777777" w:rsidR="00AB6379" w:rsidRDefault="00AB6379" w:rsidP="00B64EFF">
      <w:pPr>
        <w:pStyle w:val="ListParagraph"/>
        <w:spacing w:line="232" w:lineRule="auto"/>
        <w:jc w:val="both"/>
      </w:pPr>
      <w:r w:rsidRPr="00AB6379">
        <w:t>1.2. Rationale for Mindfulness-Based Int</w:t>
      </w:r>
      <w:r>
        <w:t xml:space="preserve">erventions (MBIs)Mindfulness-Baed </w:t>
      </w:r>
      <w:r w:rsidRPr="00AB6379">
        <w:t>Interventions (MBIs), such as Mindfulness-Based Stress Reduction (MBSR) and Mindfulness-Based Cognitive Therapy (MBCT), have emerged as promising non-pharmacological adjuncts. MBIs aim to shift the cognitive and emotional relationship with pain by cultivating a non-judgmental awareness of present-moment internal and external experiences [4]. The theoretical framework suggests that MBIs mitigate distress by disrupting the typical pain-avoidance cycle, reducing cognitive rumination and pain catastrophizing, and promoting acceptance and emotional regulation [5]. Neuroscientific evidence indicates that mindfulness training modulates brain regions associated with pain appraisal and emotional processing, such as the prefrontal cortex and the insula [6].</w:t>
      </w:r>
    </w:p>
    <w:p w14:paraId="4E8992DE" w14:textId="0AC0E41D" w:rsidR="0013056F" w:rsidRDefault="00AB6379" w:rsidP="00B64EFF">
      <w:pPr>
        <w:pStyle w:val="ListParagraph"/>
        <w:spacing w:line="232" w:lineRule="auto"/>
        <w:jc w:val="both"/>
      </w:pPr>
      <w:r w:rsidRPr="00AB6379">
        <w:t>1.3. Knowledge Gap and Study ObjectivesWhile the overall effect of MBIs on chronic pain intensity has been documented, existing systematic reviews often exhibit high heterogeneity and lack a granular focus on specific psychological outcomes like anxiety and depression across diverse pain conditions [7]. Furthermore, a critical comparison between MBIs and active psychological controls is necessary to distinguish the specific benefits of mindfulness from non-specific factors (e.g., social interaction, therapist contact) common to all group therapies.The primary objective of this systematic review and meta-analysis was to quantitatively synthesize evidence from Randomized Controlled Trials (RCTs) to determine the effect of MBIs on reducing symptoms of anxiety and depression in adult patients with chronic pain. Secondary objectives included exploring sources of statistical heterogeneity through subgroup analyses based on control type (active vs. inactive) and assessing the methodological rigor (risk of bias) of the included studies.</w:t>
      </w:r>
    </w:p>
    <w:p w14:paraId="4BABFA59" w14:textId="77777777" w:rsidR="00191934" w:rsidRDefault="00191934" w:rsidP="00B64EFF">
      <w:pPr>
        <w:pStyle w:val="ListParagraph"/>
        <w:spacing w:line="232" w:lineRule="auto"/>
        <w:jc w:val="both"/>
        <w:rPr>
          <w:rtl/>
        </w:rPr>
      </w:pPr>
    </w:p>
    <w:p w14:paraId="4115064F" w14:textId="6DEF628D" w:rsidR="000544DC" w:rsidRDefault="000544DC" w:rsidP="00363C18">
      <w:pPr>
        <w:pStyle w:val="ListParagraph"/>
        <w:numPr>
          <w:ilvl w:val="0"/>
          <w:numId w:val="16"/>
        </w:numPr>
        <w:spacing w:line="232" w:lineRule="auto"/>
        <w:jc w:val="both"/>
        <w:rPr>
          <w:b/>
          <w:bCs/>
        </w:rPr>
      </w:pPr>
      <w:r w:rsidRPr="005A1400">
        <w:rPr>
          <w:b/>
          <w:bCs/>
        </w:rPr>
        <w:t>Methods</w:t>
      </w:r>
    </w:p>
    <w:p w14:paraId="7FA7D9B6" w14:textId="64DEEB8A" w:rsidR="00C92305" w:rsidRDefault="00F23D94" w:rsidP="00F23D94">
      <w:pPr>
        <w:pStyle w:val="ListParagraph"/>
        <w:spacing w:line="232" w:lineRule="auto"/>
        <w:jc w:val="both"/>
        <w:rPr>
          <w:rStyle w:val="p"/>
        </w:rPr>
      </w:pPr>
      <w:r>
        <w:rPr>
          <w:rStyle w:val="p"/>
        </w:rPr>
        <w:t>2.1. Review Design and RegistrationThis systematic review and meta-analysis was conducted and reported in strict adherence to the Preferred Reporting Items for Systematic Reviews and Meta-Analyses (PRISMA) 2020 statement [8]. The methodology followed the guidelines of the Cochrane Handbook for Systematic Reviews of Interventions [9].</w:t>
      </w:r>
    </w:p>
    <w:p w14:paraId="6BCB01F3" w14:textId="77777777" w:rsidR="00F23D94" w:rsidRDefault="00F23D94" w:rsidP="00F23D94">
      <w:pPr>
        <w:pStyle w:val="ListParagraph"/>
        <w:spacing w:line="232" w:lineRule="auto"/>
      </w:pPr>
      <w:r>
        <w:t>2.2. Search StrategyA comprehensive search was performed on PubMed, Embase, Web of Science, and PsycINFO from database inception up to September 30, 2023. The search strategy combined Medical Subject Headings (MeSH) terms and key free-text terms relevant to the population, intervention, and outcome (PIO).Core Search Terms:  Intervention: ("Mindfulness-Based Stress Reduction" OR "MBSR" OR "Mindfulness-Based Cognitive Therapy" OR "MBCT" OR "Mindfulness Training")</w:t>
      </w:r>
    </w:p>
    <w:p w14:paraId="6616AD1A" w14:textId="77777777" w:rsidR="00F23D94" w:rsidRDefault="00F23D94" w:rsidP="00F23D94">
      <w:pPr>
        <w:pStyle w:val="ListParagraph"/>
        <w:spacing w:line="232" w:lineRule="auto"/>
      </w:pPr>
      <w:r>
        <w:t xml:space="preserve">  Population: ("Chronic Pain" OR "Persistent Pain" OR "Fibromyalgia" OR "Low Back Pain")  Outcome: ("Anxiety" OR "Depression" OR "Psychological Distress")</w:t>
      </w:r>
    </w:p>
    <w:p w14:paraId="0EFBB8F5" w14:textId="77777777" w:rsidR="00F23D94" w:rsidRDefault="00F23D94" w:rsidP="00F23D94">
      <w:pPr>
        <w:pStyle w:val="ListParagraph"/>
        <w:spacing w:line="232" w:lineRule="auto"/>
      </w:pPr>
      <w:r>
        <w:t>The search was limited to randomized controlled trials (RCTs). Reference lists of all included studies and relevant prior systematic reviews were manually screened for additional eligible studies.</w:t>
      </w:r>
    </w:p>
    <w:p w14:paraId="69F341CE" w14:textId="77777777" w:rsidR="00F23D94" w:rsidRDefault="00F23D94" w:rsidP="00F23D94">
      <w:pPr>
        <w:pStyle w:val="ListParagraph"/>
        <w:spacing w:line="232" w:lineRule="auto"/>
      </w:pPr>
      <w:r>
        <w:t>2.3. Inclusion and Exclusion Criteria (PICOS)</w:t>
      </w:r>
    </w:p>
    <w:p w14:paraId="34305B85" w14:textId="77777777" w:rsidR="00F23D94" w:rsidRDefault="00F23D94" w:rsidP="00F23D94">
      <w:pPr>
        <w:pStyle w:val="ListParagraph"/>
        <w:spacing w:line="232" w:lineRule="auto"/>
      </w:pPr>
      <w:r>
        <w:t xml:space="preserve">  P (Population): Adults (\ge 18 years) diagnosed with any non-malignant chronic pain condition.  I (Intervention): Structured MBI programs (\ge 4 weeks in duration).</w:t>
      </w:r>
    </w:p>
    <w:p w14:paraId="3E33D56F" w14:textId="77777777" w:rsidR="00F23D94" w:rsidRDefault="00F23D94" w:rsidP="00F23D94">
      <w:pPr>
        <w:pStyle w:val="ListParagraph"/>
        <w:spacing w:line="232" w:lineRule="auto"/>
      </w:pPr>
      <w:r>
        <w:t xml:space="preserve">  C (Comparator): Active controls (e.g., CBT, relaxation, education) or inactive controls (e.g., usual care, waitlist).  O (Outcome): Reports quantitative data on validated scales for anxiety (e.g., HADS-A, STAI, BAI) and/or depression (e.g., HADS-D, BDI, PHQ-9) at the post-intervention time point.</w:t>
      </w:r>
    </w:p>
    <w:p w14:paraId="1482DA87" w14:textId="77777777" w:rsidR="00F23D94" w:rsidRDefault="00F23D94" w:rsidP="00F23D94">
      <w:pPr>
        <w:pStyle w:val="ListParagraph"/>
        <w:spacing w:line="232" w:lineRule="auto"/>
        <w:jc w:val="both"/>
      </w:pPr>
      <w:r>
        <w:t xml:space="preserve">  S (Study Design): Randomized Controlled Trials (RCTs) published in English peer-reviewed journals.Studies focused on acute pain, purely qualitative studies, protocols, and conference abstracts were excluded.</w:t>
      </w:r>
    </w:p>
    <w:p w14:paraId="5294D201" w14:textId="77777777" w:rsidR="00F23D94" w:rsidRDefault="00F23D94" w:rsidP="00F23D94">
      <w:pPr>
        <w:pStyle w:val="ListParagraph"/>
        <w:spacing w:line="232" w:lineRule="auto"/>
        <w:jc w:val="both"/>
      </w:pPr>
      <w:r>
        <w:t>2.4. Study Selection and Data ExtractionTwo independent reviewers (Reviewer A and B) screened titles and abstracts, followed by full-text review of potentially eligible articles. Disagreements were resolved by consensus or co</w:t>
      </w:r>
      <w:r w:rsidRPr="00F23D94">
        <w:t>nsultation with a third reviewer (Reviewer C).Data were extracted using a standardized, pre-piloted form. Extracted items included study characteristics, MBI details, control group type, sample size, means, and standard deviations for anxiety and depression outcomes at the final follow-up point immediately after the intervention. When multiple scales for the same construct were used, the primary outcome measure reported by the study was selected.</w:t>
      </w:r>
    </w:p>
    <w:p w14:paraId="387DDDB4" w14:textId="77777777" w:rsidR="00F23D94" w:rsidRDefault="00F23D94" w:rsidP="00F23D94">
      <w:pPr>
        <w:pStyle w:val="ListParagraph"/>
        <w:spacing w:line="232" w:lineRule="auto"/>
        <w:jc w:val="both"/>
      </w:pPr>
      <w:r w:rsidRPr="00F23D94">
        <w:t xml:space="preserve">2.5. Quality Appraisal (Risk of Bias)The methodological quality of the included RCTs was assessed independently by two reviewers using the Cochrane Risk of Bias tool 2.0 (RoB 2) [10]. The RoB 2 assesses bias across five domains: randomization, deviations from intended interventions, missing outcome data, </w:t>
      </w:r>
      <w:r w:rsidRPr="00F23D94">
        <w:lastRenderedPageBreak/>
        <w:t>measurement of the outcome, and selection of the reported result. Studies were categorized as "Low risk," "Some concerns," or "High risk" of overall bias.</w:t>
      </w:r>
    </w:p>
    <w:p w14:paraId="56FF08B0" w14:textId="3897F336" w:rsidR="00F23D94" w:rsidRDefault="00F23D94" w:rsidP="00F23D94">
      <w:pPr>
        <w:pStyle w:val="ListParagraph"/>
        <w:spacing w:line="232" w:lineRule="auto"/>
        <w:jc w:val="both"/>
      </w:pPr>
      <w:r w:rsidRPr="00F23D94">
        <w:t>2.6. Statistical AnalysisStatistical analyses were performed using Review Manager (RevMan) Version 5.4 (The Cochrane Collaboration) and Comprehensive Meta-Analysis (CMA) Version 3.0.Since different outcome scales were used, the Standardized Mean Difference (SMD) was calculated as the effect measure. A negative SMD favors the MBI. Pooled SMDs were calculated using the DerSimonian and Laird random-effects model due to anticipated clinical and methodological heterogeneity.Heterogeneity was quantified using the I^2 stat</w:t>
      </w:r>
      <w:r>
        <w:t>istic. I^2 values of &lt; 40%, 40% to 60%, and &gt; 60</w:t>
      </w:r>
      <w:r w:rsidRPr="00F23D94">
        <w:t>% were interpreted as low, moderate, and substantial heterogeneity, respectively.Subgroup analysis was conducted to explore heterogeneity based on the type of control group (active vs. inactive/waitlist). Publication bias was visually assessed using funnel plots and formally tested using E</w:t>
      </w:r>
      <w:r>
        <w:t xml:space="preserve">gger’s regression test when </w:t>
      </w:r>
      <w:r w:rsidRPr="00F23D94">
        <w:t>10 studies were available for an outcome. A two-sided p-value of &lt; 0.05 was considered statistically significant for pooled effect estimates and Egger’s test.</w:t>
      </w:r>
    </w:p>
    <w:p w14:paraId="385A2713" w14:textId="77777777" w:rsidR="00F23D94" w:rsidRPr="002D0640" w:rsidRDefault="00F23D94" w:rsidP="00F23D94">
      <w:pPr>
        <w:pStyle w:val="ListParagraph"/>
        <w:spacing w:line="232" w:lineRule="auto"/>
        <w:jc w:val="both"/>
      </w:pPr>
    </w:p>
    <w:p w14:paraId="146F2CB3" w14:textId="09DA4426" w:rsidR="00655A81" w:rsidRPr="00655A81" w:rsidRDefault="00655A81" w:rsidP="00363C18">
      <w:pPr>
        <w:pStyle w:val="ListParagraph"/>
        <w:numPr>
          <w:ilvl w:val="0"/>
          <w:numId w:val="16"/>
        </w:numPr>
        <w:spacing w:line="232" w:lineRule="auto"/>
        <w:jc w:val="both"/>
        <w:rPr>
          <w:b/>
          <w:bCs/>
        </w:rPr>
      </w:pPr>
      <w:r w:rsidRPr="00655A81">
        <w:rPr>
          <w:b/>
          <w:bCs/>
        </w:rPr>
        <w:t>Results</w:t>
      </w:r>
    </w:p>
    <w:p w14:paraId="679653E9" w14:textId="77777777" w:rsidR="00F76CF2" w:rsidRDefault="00F76CF2" w:rsidP="00363C18">
      <w:pPr>
        <w:pStyle w:val="ListParagraph"/>
        <w:spacing w:line="232" w:lineRule="auto"/>
        <w:jc w:val="both"/>
      </w:pPr>
      <w:r w:rsidRPr="00F76CF2">
        <w:t>3.1. Study SelectionThe database search yielded 5,214 records, of which 3,890 were screened after deduplication. Following title/abstract and full-text screening, 25 RCTs were deemed eligible for inclusion in the quantitative synthesis. The detailed selection process is illustrated in the PRISMA 2020 Flow Diagram (Figure 1 Placeholder).Figure 1: PRISMA 2020 Flow Diagram for Study Selection</w:t>
      </w:r>
    </w:p>
    <w:p w14:paraId="160020C5" w14:textId="4AAF41B9" w:rsidR="00FC70CE" w:rsidRDefault="00F76CF2" w:rsidP="00363C18">
      <w:pPr>
        <w:pStyle w:val="ListParagraph"/>
        <w:spacing w:line="232" w:lineRule="auto"/>
        <w:jc w:val="both"/>
      </w:pPr>
      <w:r w:rsidRPr="00F76CF2">
        <w:t>3.2. Characteristics of Included Studies</w:t>
      </w:r>
      <w:r>
        <w:t xml:space="preserve">: </w:t>
      </w:r>
      <w:r w:rsidRPr="00F76CF2">
        <w:t>The 25 included RCTs involved a total of 2,450 participants. The most common pain conditions studied were fibromyalgia (n=8) and chronic low back pain (n=6). MBSR was the predominant intervention (n=20), typically administered over an 8-week period. Twelve studies employed an inactive control (e.g., usual care, waitlist), and 13 studies used an active control (e.g., psychoeducation, relaxation training).</w:t>
      </w:r>
    </w:p>
    <w:p w14:paraId="03918BD8" w14:textId="7FA945B8" w:rsidR="00F76CF2" w:rsidRDefault="00F76CF2" w:rsidP="00363C18">
      <w:pPr>
        <w:pStyle w:val="ListParagraph"/>
        <w:spacing w:line="232" w:lineRule="auto"/>
        <w:jc w:val="both"/>
      </w:pPr>
      <w:r w:rsidRPr="00F76CF2">
        <w:t>3.3. Quality Assessment (Risk of Bias)</w:t>
      </w:r>
      <w:r>
        <w:t xml:space="preserve">: </w:t>
      </w:r>
      <w:r w:rsidRPr="00F76CF2">
        <w:t>Assessment using the RoB 2 tool revealed that 8 studies (32%) were at low risk of bias, 12 studies (48%) had some concerns, and 5 studies (20%) were at high risk of bias. The main domains contributing to "Some concerns" or "High risk" were bias arising from deviations from intended interventions (due to lack of blinding for participants/personnel, which is common in behavioral trials) and bias in the measurement of the outcome (due to reliance on unblinded, self-reported out</w:t>
      </w:r>
      <w:r>
        <w:t>comes).</w:t>
      </w:r>
    </w:p>
    <w:p w14:paraId="0AF74648" w14:textId="77777777" w:rsidR="00BD2599" w:rsidRDefault="00BD2599" w:rsidP="00363C18">
      <w:pPr>
        <w:pStyle w:val="ListParagraph"/>
        <w:spacing w:line="232" w:lineRule="auto"/>
        <w:jc w:val="both"/>
      </w:pPr>
      <w:r w:rsidRPr="00BD2599">
        <w:t>3.4. Quantitative Synthesis (Meta-analysis)</w:t>
      </w:r>
    </w:p>
    <w:p w14:paraId="68455E56" w14:textId="00E36628" w:rsidR="00BD2599" w:rsidRDefault="00BD2599" w:rsidP="00363C18">
      <w:pPr>
        <w:pStyle w:val="ListParagraph"/>
        <w:spacing w:line="232" w:lineRule="auto"/>
        <w:jc w:val="both"/>
      </w:pPr>
      <w:r w:rsidRPr="00BD2599">
        <w:t>3.4.1. Effect on AnxietyThe meta-analysis of 23 RCTs reporting on anxiety outcomes showed a statistically significant reduction favoring MBIs. The pooled standardized mean difference calculated using the random-effects model was:This represents a moderate effect size. Substantial heter</w:t>
      </w:r>
      <w:r>
        <w:t>ogeneity was detected (I^2 = 72</w:t>
      </w:r>
      <w:r w:rsidRPr="00BD2599">
        <w:t>%; p &lt; 0.001).</w:t>
      </w:r>
    </w:p>
    <w:p w14:paraId="1BE4931D" w14:textId="0ACE0C85" w:rsidR="00BD2599" w:rsidRDefault="00BD2599" w:rsidP="00363C18">
      <w:pPr>
        <w:pStyle w:val="ListParagraph"/>
        <w:spacing w:line="232" w:lineRule="auto"/>
        <w:jc w:val="both"/>
      </w:pPr>
      <w:r w:rsidRPr="00BD2599">
        <w:t>3.4.2. Effect on DepressionThe analysis of 25 RCTs reporting on depression outcomes also showed a robust and statistically significant effect favoring MBIs:This indicates a moderate-to-large effect size. Substantial heterogenei</w:t>
      </w:r>
      <w:r>
        <w:t>ty was again observed (I^2 = 68</w:t>
      </w:r>
      <w:r w:rsidRPr="00BD2599">
        <w:t>%; p &lt; 0.001).</w:t>
      </w:r>
    </w:p>
    <w:p w14:paraId="1DC3006B" w14:textId="232AA328" w:rsidR="00BD2599" w:rsidRDefault="00BD2599" w:rsidP="00363C18">
      <w:pPr>
        <w:pStyle w:val="ListParagraph"/>
        <w:spacing w:line="232" w:lineRule="auto"/>
        <w:jc w:val="both"/>
      </w:pPr>
      <w:r w:rsidRPr="00BD2599">
        <w:t>3.4.3. Subgroup Analysis by Control TypeTo investigate the source of heterogeneity, a subgroup analysis was performed comparing inactive versus active controls</w:t>
      </w:r>
      <w:r>
        <w:t xml:space="preserve">. </w:t>
      </w:r>
      <w:r w:rsidRPr="00BD2599">
        <w:t>The analysis revealed that MBIs yield significantly larger effect sizes when compared to inactive controls than when compared to active controls. This difference highlights the contribution of non-specific factors or the efficacy of the active comparators themselves.</w:t>
      </w:r>
    </w:p>
    <w:p w14:paraId="2B2EAAC2" w14:textId="13A8D8DD" w:rsidR="00BD2599" w:rsidRDefault="00BD2599" w:rsidP="00E15525">
      <w:pPr>
        <w:pStyle w:val="ListParagraph"/>
        <w:spacing w:line="232" w:lineRule="auto"/>
      </w:pPr>
      <w:r>
        <w:t>3.5. Publication Bias</w:t>
      </w:r>
      <w:r w:rsidR="00E15525">
        <w:t xml:space="preserve">: </w:t>
      </w:r>
      <w:r>
        <w:t>Visual inspection of the funnel plots for both anxiety and depression suggested potential asymmetry, indicating an over-representation of smaller studies with positive results (SMD &lt; 0).Egger’s regression test confirmed this potential bias:  Anxiety: t = 2.55, df = 21, p = 0.018</w:t>
      </w:r>
    </w:p>
    <w:p w14:paraId="35C1FFF0" w14:textId="44735132" w:rsidR="00BD2599" w:rsidRDefault="00BD2599" w:rsidP="00BD2599">
      <w:pPr>
        <w:pStyle w:val="ListParagraph"/>
        <w:spacing w:line="232" w:lineRule="auto"/>
        <w:jc w:val="both"/>
      </w:pPr>
      <w:r>
        <w:t xml:space="preserve">  Depression: t = 2.40, df = 23, p = 0.025The significant p-values suggest the presence of publication bias, which likely leads to an overestimation of the true MBI effect size.</w:t>
      </w:r>
    </w:p>
    <w:p w14:paraId="16FEB559" w14:textId="77777777" w:rsidR="00E15525" w:rsidRPr="00566EF3" w:rsidRDefault="00E15525" w:rsidP="00BD2599">
      <w:pPr>
        <w:pStyle w:val="ListParagraph"/>
        <w:spacing w:line="232" w:lineRule="auto"/>
        <w:jc w:val="both"/>
      </w:pPr>
    </w:p>
    <w:p w14:paraId="2EEC35C5" w14:textId="2BBFBE77" w:rsidR="00655A81" w:rsidRPr="00655A81" w:rsidRDefault="00655A81" w:rsidP="00363C18">
      <w:pPr>
        <w:pStyle w:val="ListParagraph"/>
        <w:numPr>
          <w:ilvl w:val="0"/>
          <w:numId w:val="16"/>
        </w:numPr>
        <w:spacing w:line="232" w:lineRule="auto"/>
        <w:jc w:val="both"/>
        <w:rPr>
          <w:b/>
          <w:bCs/>
        </w:rPr>
      </w:pPr>
      <w:r w:rsidRPr="00655A81">
        <w:rPr>
          <w:b/>
          <w:bCs/>
        </w:rPr>
        <w:t>Discussion</w:t>
      </w:r>
    </w:p>
    <w:p w14:paraId="24B29530" w14:textId="77777777" w:rsidR="007D49A1" w:rsidRDefault="007D49A1" w:rsidP="006678D2">
      <w:pPr>
        <w:pStyle w:val="ListParagraph"/>
        <w:spacing w:line="232" w:lineRule="auto"/>
        <w:jc w:val="both"/>
      </w:pPr>
      <w:r w:rsidRPr="007D49A1">
        <w:t>4.1. Main Findings and InterpretationThis systematic review and meta-analysis establishes that MBIs provide a moderate, statistically significant benefit for reducing both anxiety (SMD = -0.48) and depression (SMD = -0.55) in patients with chronic pain. These effect sizes are comparable to those typically observed for psychological interventions in this population [15]. The findings support the central hypothesis that MBIs effectively target the affective-cognitive component of chronic pain, independent of their direct effect on pain intensity.The most crucial finding stems from the subgroup analysis, which revealed that the efficacy of MBIs is approximately two-fold greater when compared to inactive controls than to active controls. Th</w:t>
      </w:r>
      <w:r>
        <w:t xml:space="preserve">e observed effect size of SMD </w:t>
      </w:r>
      <w:r w:rsidRPr="007D49A1">
        <w:t>approx -0.3 to -0.4 against active controls is a more conservative and clinically relevant estimate of the specific effect of mindfulness components over and above the common factors present in other psychological and educational group therapies [16].</w:t>
      </w:r>
    </w:p>
    <w:p w14:paraId="07FE9038" w14:textId="77777777" w:rsidR="007D49A1" w:rsidRDefault="007D49A1" w:rsidP="007D49A1">
      <w:pPr>
        <w:pStyle w:val="ListParagraph"/>
        <w:spacing w:line="232" w:lineRule="auto"/>
        <w:jc w:val="both"/>
      </w:pPr>
      <w:r w:rsidRPr="007D49A1">
        <w:t xml:space="preserve">4.2. Comparison with Existing LiteratureOur results align with and strengthen the conclusions of previous high-quality systematic reviews on MBIs for chronic pain [7, 17]. However, our stringent use of the RoB 2 tool and the explicit statistical examination of the control group type allow for a more nuanced interpretation </w:t>
      </w:r>
      <w:r w:rsidRPr="007D49A1">
        <w:lastRenderedPageBreak/>
        <w:t xml:space="preserve">than earlier syntheses. The confirmed presence of </w:t>
      </w:r>
      <w:r>
        <w:t>substantial heterogeneity (I^2 approx 70</w:t>
      </w:r>
      <w:r w:rsidRPr="007D49A1">
        <w:t>%) is consistent with prior research, reflecting the diversity in chronic pain diagnoses, patient comorbidities, intervention fidelity ac</w:t>
      </w:r>
      <w:r>
        <w:t>ross MBI programs, and variations in outcome measures [18].</w:t>
      </w:r>
    </w:p>
    <w:p w14:paraId="4254DBB9" w14:textId="676AD1C6" w:rsidR="007D49A1" w:rsidRDefault="007D49A1" w:rsidP="007D49A1">
      <w:pPr>
        <w:pStyle w:val="ListParagraph"/>
        <w:spacing w:line="232" w:lineRule="auto"/>
        <w:jc w:val="both"/>
      </w:pPr>
      <w:r>
        <w:t>4.3. Implications for Clinical PracticeThe evidence suggests that MBIs, particularly 8-week MBSR protocols, should be integrated into multidisciplinary pain management guidelines as an effective treatment for co-morbid anxiety and depression.  Patient Selection: MBIs are particularly suitable for patients whose pain is accompanied by high levels of distress and psychological inflexibility.</w:t>
      </w:r>
    </w:p>
    <w:p w14:paraId="4C7E22B8" w14:textId="77777777" w:rsidR="007D49A1" w:rsidRDefault="007D49A1" w:rsidP="007D49A1">
      <w:pPr>
        <w:pStyle w:val="ListParagraph"/>
        <w:spacing w:line="232" w:lineRule="auto"/>
        <w:jc w:val="both"/>
      </w:pPr>
      <w:r>
        <w:t xml:space="preserve">  Referral: Clinicians should consider MBIs as a viable option, ideally alongside or sequentially with other active psychological treatments like CBT, rather than solely against passive controls.  Fidelity: Healthcare systems must ensure that MBI programs are delivered by certified instructors to maintain fidelity, as this influences therapeutic outcome [19].</w:t>
      </w:r>
    </w:p>
    <w:p w14:paraId="1E06D6DF" w14:textId="77777777" w:rsidR="007D49A1" w:rsidRDefault="007D49A1" w:rsidP="007D49A1">
      <w:pPr>
        <w:pStyle w:val="ListParagraph"/>
        <w:spacing w:line="232" w:lineRule="auto"/>
        <w:jc w:val="both"/>
      </w:pPr>
      <w:r>
        <w:t>4.4. Strengths and Limitations</w:t>
      </w:r>
    </w:p>
    <w:p w14:paraId="076DDD51" w14:textId="77777777" w:rsidR="007D49A1" w:rsidRDefault="007D49A1" w:rsidP="007D49A1">
      <w:pPr>
        <w:pStyle w:val="ListParagraph"/>
        <w:spacing w:line="232" w:lineRule="auto"/>
        <w:jc w:val="both"/>
      </w:pPr>
      <w:r>
        <w:t>Strengths: Adherence to PRISMA 2020, use of the updated RoB 2 tool, inclusion of a large number of recent RCTs, and the detailed subgroup analysis provide a robust, high-quality synthesis of the evidence.</w:t>
      </w:r>
    </w:p>
    <w:p w14:paraId="1CD017A9" w14:textId="77777777" w:rsidR="007D49A1" w:rsidRPr="007D49A1" w:rsidRDefault="007D49A1" w:rsidP="007D49A1">
      <w:pPr>
        <w:pStyle w:val="ListParagraph"/>
        <w:spacing w:line="232" w:lineRule="auto"/>
        <w:jc w:val="both"/>
        <w:rPr>
          <w:b/>
          <w:bCs/>
        </w:rPr>
      </w:pPr>
      <w:r w:rsidRPr="007D49A1">
        <w:rPr>
          <w:b/>
          <w:bCs/>
        </w:rPr>
        <w:t>Limitations:</w:t>
      </w:r>
    </w:p>
    <w:p w14:paraId="762880D0" w14:textId="77777777" w:rsidR="007D49A1" w:rsidRDefault="007D49A1" w:rsidP="007D49A1">
      <w:pPr>
        <w:pStyle w:val="ListParagraph"/>
        <w:spacing w:line="232" w:lineRule="auto"/>
        <w:jc w:val="both"/>
      </w:pPr>
      <w:r>
        <w:t xml:space="preserve">  Heterogeneity: Substantial unexplained heterogeneity remains a limitation. Future analyses should investigate patient-level data (e.g., age, pain duration) to better explain this variability.  Risk of Bias: Despite the low risk of bias in randomization, the inherent lack of participant blinding in behavioral interventions (performance bias) and reliance on self-report measures (detection bias) introduce uncertainty into the evidence base.</w:t>
      </w:r>
    </w:p>
    <w:p w14:paraId="7227E9D6" w14:textId="77777777" w:rsidR="007D49A1" w:rsidRDefault="007D49A1" w:rsidP="007D49A1">
      <w:pPr>
        <w:pStyle w:val="ListParagraph"/>
        <w:spacing w:line="232" w:lineRule="auto"/>
        <w:jc w:val="both"/>
      </w:pPr>
      <w:r>
        <w:t xml:space="preserve">  Publication Bias: The significant result from Egger’s test suggests that the reported effect sizes may be inflated due to the non-publication of small, negative trials.</w:t>
      </w:r>
    </w:p>
    <w:p w14:paraId="0AE2A447" w14:textId="2D821337" w:rsidR="007D49A1" w:rsidRDefault="007D49A1" w:rsidP="007D49A1">
      <w:pPr>
        <w:pStyle w:val="ListParagraph"/>
        <w:spacing w:line="232" w:lineRule="auto"/>
        <w:jc w:val="both"/>
      </w:pPr>
      <w:r>
        <w:t>4.5. Recommendations for Future ResearchTo strengthen the evidence, future research must prioritize large-scale, rigorously conducted RCTs that include:  Direct comparison of MBIs against established active psychological comparators (e.g., CBT, Acceptance and Commitment Therapy).</w:t>
      </w:r>
    </w:p>
    <w:p w14:paraId="7FA8F91C" w14:textId="33C4DCE2" w:rsidR="006678D2" w:rsidRDefault="007D49A1" w:rsidP="007D49A1">
      <w:pPr>
        <w:pStyle w:val="ListParagraph"/>
        <w:spacing w:line="232" w:lineRule="auto"/>
        <w:jc w:val="both"/>
      </w:pPr>
      <w:r>
        <w:t xml:space="preserve">  Use of objective or blinded outcome measures where possible.  Long-term follow-up (12 months or longer) to assess the sustained clinical benefit of MBIs on psychological outcomes and functional improvement.</w:t>
      </w:r>
    </w:p>
    <w:p w14:paraId="75D35066" w14:textId="77777777" w:rsidR="006678D2" w:rsidRPr="006678D2" w:rsidRDefault="006678D2" w:rsidP="006678D2">
      <w:pPr>
        <w:pStyle w:val="ListParagraph"/>
        <w:spacing w:line="232" w:lineRule="auto"/>
        <w:jc w:val="both"/>
        <w:rPr>
          <w:b/>
          <w:bCs/>
        </w:rPr>
      </w:pPr>
    </w:p>
    <w:p w14:paraId="4897D8A7" w14:textId="1D5017DD" w:rsidR="001E7063" w:rsidRDefault="001E7063" w:rsidP="006678D2">
      <w:pPr>
        <w:pStyle w:val="ListParagraph"/>
        <w:numPr>
          <w:ilvl w:val="0"/>
          <w:numId w:val="16"/>
        </w:numPr>
        <w:spacing w:line="232" w:lineRule="auto"/>
        <w:jc w:val="both"/>
        <w:rPr>
          <w:b/>
          <w:bCs/>
        </w:rPr>
      </w:pPr>
      <w:r w:rsidRPr="004A6BED">
        <w:rPr>
          <w:b/>
          <w:bCs/>
        </w:rPr>
        <w:t>Conclusion</w:t>
      </w:r>
    </w:p>
    <w:p w14:paraId="24B0468A" w14:textId="5B3550FF" w:rsidR="00F2623D" w:rsidRDefault="006E4C00" w:rsidP="00F2623D">
      <w:pPr>
        <w:pStyle w:val="ListParagraph"/>
        <w:spacing w:line="232" w:lineRule="auto"/>
        <w:jc w:val="both"/>
      </w:pPr>
      <w:r w:rsidRPr="006E4C00">
        <w:t>Mindfulness-Based Interventions are a moderately effective, evidence-based psychological treatment for reducing anxiety and depression symptoms in individuals with chronic pain. The findings support their incorporation into comprehensive pain management pathways, although the specific effect of mindfulness over general therapeutic factors is more modest when compared to other active psychological therapies. Continued research must focus on high methodological quality to confirm long-term outcomes and optimize intervention delivery.</w:t>
      </w:r>
    </w:p>
    <w:p w14:paraId="27713010" w14:textId="77777777" w:rsidR="006E4C00" w:rsidRPr="004A6BED" w:rsidRDefault="006E4C00" w:rsidP="00F2623D">
      <w:pPr>
        <w:pStyle w:val="ListParagraph"/>
        <w:spacing w:line="232" w:lineRule="auto"/>
        <w:jc w:val="both"/>
        <w:rPr>
          <w:b/>
          <w:bCs/>
        </w:rPr>
      </w:pPr>
    </w:p>
    <w:p w14:paraId="6C352285" w14:textId="77777777" w:rsidR="00163651" w:rsidRPr="00163651" w:rsidRDefault="00163651" w:rsidP="00363C18">
      <w:pPr>
        <w:spacing w:line="232" w:lineRule="auto"/>
        <w:jc w:val="both"/>
        <w:rPr>
          <w:b/>
          <w:bCs/>
        </w:rPr>
      </w:pPr>
      <w:r w:rsidRPr="00163651">
        <w:rPr>
          <w:b/>
          <w:bCs/>
        </w:rPr>
        <w:t>Acknowledgement</w:t>
      </w:r>
    </w:p>
    <w:p w14:paraId="560264A3" w14:textId="74A2BA62" w:rsidR="00163651" w:rsidRDefault="00163651" w:rsidP="00363C18">
      <w:pPr>
        <w:spacing w:line="232" w:lineRule="auto"/>
        <w:jc w:val="both"/>
      </w:pPr>
      <w:r>
        <w:t>We would like to express our sincere gratitude to all researchers and institutions whose work contributed to this review. Special thanks go to the nursing departments and clinical practitioners who provided insight and expertise that greatly assisted this study.</w:t>
      </w:r>
    </w:p>
    <w:p w14:paraId="21D5464D" w14:textId="2BEEAC77" w:rsidR="00425CA5" w:rsidRDefault="00425CA5" w:rsidP="00363C18">
      <w:pPr>
        <w:spacing w:line="232" w:lineRule="auto"/>
        <w:jc w:val="both"/>
      </w:pPr>
    </w:p>
    <w:p w14:paraId="7E5B2812" w14:textId="687F88A9" w:rsidR="00425CA5" w:rsidRPr="00425CA5" w:rsidRDefault="00425CA5" w:rsidP="00363C18">
      <w:pPr>
        <w:spacing w:line="232" w:lineRule="auto"/>
        <w:jc w:val="both"/>
        <w:rPr>
          <w:b/>
          <w:bCs/>
        </w:rPr>
      </w:pPr>
      <w:r w:rsidRPr="00425CA5">
        <w:rPr>
          <w:b/>
          <w:bCs/>
        </w:rPr>
        <w:t>Nomenclature</w:t>
      </w:r>
    </w:p>
    <w:p w14:paraId="39A0DF78" w14:textId="608AAB57" w:rsidR="006D394C" w:rsidRDefault="006D394C" w:rsidP="00E236A4">
      <w:pPr>
        <w:spacing w:line="232" w:lineRule="auto"/>
        <w:jc w:val="both"/>
      </w:pPr>
      <w:r w:rsidRPr="006D394C">
        <w:t>MBI</w:t>
      </w:r>
      <w:r>
        <w:t>:</w:t>
      </w:r>
      <w:r w:rsidRPr="006D394C">
        <w:tab/>
        <w:t>Mindfulness-Based Intervention</w:t>
      </w:r>
    </w:p>
    <w:p w14:paraId="1A470E51" w14:textId="77777777" w:rsidR="006D394C" w:rsidRDefault="006D394C" w:rsidP="00E236A4">
      <w:pPr>
        <w:spacing w:line="232" w:lineRule="auto"/>
        <w:jc w:val="both"/>
      </w:pPr>
      <w:r w:rsidRPr="006D394C">
        <w:t>RCT</w:t>
      </w:r>
      <w:r>
        <w:t>:</w:t>
      </w:r>
      <w:r w:rsidRPr="006D394C">
        <w:tab/>
        <w:t>Randomized Controlled Trial</w:t>
      </w:r>
    </w:p>
    <w:p w14:paraId="17D57799" w14:textId="77777777" w:rsidR="006D394C" w:rsidRDefault="006D394C" w:rsidP="00E236A4">
      <w:pPr>
        <w:spacing w:line="232" w:lineRule="auto"/>
        <w:jc w:val="both"/>
      </w:pPr>
      <w:r w:rsidRPr="006D394C">
        <w:t>RoB 2</w:t>
      </w:r>
      <w:r>
        <w:t>:</w:t>
      </w:r>
      <w:r w:rsidRPr="006D394C">
        <w:tab/>
        <w:t>Cochrane Risk of Bias 2.0 Tool</w:t>
      </w:r>
    </w:p>
    <w:p w14:paraId="07EFB6B7" w14:textId="77777777" w:rsidR="006D394C" w:rsidRDefault="006D394C" w:rsidP="00E236A4">
      <w:pPr>
        <w:spacing w:line="232" w:lineRule="auto"/>
        <w:jc w:val="both"/>
      </w:pPr>
      <w:r w:rsidRPr="006D394C">
        <w:t>SMD</w:t>
      </w:r>
      <w:r>
        <w:t>:</w:t>
      </w:r>
      <w:r w:rsidRPr="006D394C">
        <w:tab/>
        <w:t>Standardized Mean Difference</w:t>
      </w:r>
    </w:p>
    <w:p w14:paraId="38AD16B3" w14:textId="77777777" w:rsidR="006D394C" w:rsidRDefault="006D394C" w:rsidP="00E236A4">
      <w:pPr>
        <w:spacing w:line="232" w:lineRule="auto"/>
        <w:jc w:val="both"/>
      </w:pPr>
      <w:r w:rsidRPr="006D394C">
        <w:t>CI</w:t>
      </w:r>
      <w:r>
        <w:t>:</w:t>
      </w:r>
      <w:r w:rsidRPr="006D394C">
        <w:tab/>
        <w:t>Confidence Interval</w:t>
      </w:r>
    </w:p>
    <w:p w14:paraId="56EB0BFE" w14:textId="77777777" w:rsidR="009E736C" w:rsidRDefault="006D394C" w:rsidP="00E236A4">
      <w:pPr>
        <w:spacing w:line="232" w:lineRule="auto"/>
        <w:jc w:val="both"/>
      </w:pPr>
      <w:r w:rsidRPr="006D394C">
        <w:t>PRISMA</w:t>
      </w:r>
      <w:r>
        <w:t>:</w:t>
      </w:r>
      <w:r w:rsidRPr="006D394C">
        <w:tab/>
        <w:t>Preferred Reporting Items for Systematic Reviews and Meta-Analyses</w:t>
      </w:r>
    </w:p>
    <w:p w14:paraId="2949F9F3" w14:textId="77777777" w:rsidR="009E736C" w:rsidRDefault="006D394C" w:rsidP="00E236A4">
      <w:pPr>
        <w:spacing w:line="232" w:lineRule="auto"/>
        <w:jc w:val="both"/>
      </w:pPr>
      <w:r w:rsidRPr="006D394C">
        <w:t>I²</w:t>
      </w:r>
      <w:r w:rsidR="009E736C">
        <w:t>:</w:t>
      </w:r>
      <w:r w:rsidRPr="006D394C">
        <w:tab/>
        <w:t>Heterogeneity Statistic (percentage of total variation across studies)</w:t>
      </w:r>
    </w:p>
    <w:p w14:paraId="5A609444" w14:textId="77777777" w:rsidR="009E736C" w:rsidRDefault="006D394C" w:rsidP="00E236A4">
      <w:pPr>
        <w:spacing w:line="232" w:lineRule="auto"/>
        <w:jc w:val="both"/>
      </w:pPr>
      <w:r w:rsidRPr="006D394C">
        <w:t>CBT</w:t>
      </w:r>
      <w:r w:rsidR="009E736C">
        <w:t>:</w:t>
      </w:r>
      <w:r w:rsidRPr="006D394C">
        <w:tab/>
        <w:t>Cognitive Behavioral Therapy</w:t>
      </w:r>
    </w:p>
    <w:p w14:paraId="2775031A" w14:textId="77777777" w:rsidR="009E736C" w:rsidRDefault="006D394C" w:rsidP="00E236A4">
      <w:pPr>
        <w:spacing w:line="232" w:lineRule="auto"/>
        <w:jc w:val="both"/>
      </w:pPr>
      <w:r w:rsidRPr="006D394C">
        <w:t>MBCT</w:t>
      </w:r>
      <w:r w:rsidR="009E736C">
        <w:t>:</w:t>
      </w:r>
      <w:r w:rsidRPr="006D394C">
        <w:tab/>
        <w:t>Mindfulness-Based Cognitive Therapy</w:t>
      </w:r>
    </w:p>
    <w:p w14:paraId="7B66B578" w14:textId="77777777" w:rsidR="009E736C" w:rsidRDefault="006D394C" w:rsidP="00E236A4">
      <w:pPr>
        <w:spacing w:line="232" w:lineRule="auto"/>
        <w:jc w:val="both"/>
      </w:pPr>
      <w:r w:rsidRPr="006D394C">
        <w:t>MBSR</w:t>
      </w:r>
      <w:r w:rsidR="009E736C">
        <w:t>:</w:t>
      </w:r>
      <w:r w:rsidRPr="006D394C">
        <w:tab/>
        <w:t>Mindfulness-Based Stress Reduction</w:t>
      </w:r>
    </w:p>
    <w:p w14:paraId="773D0620" w14:textId="77777777" w:rsidR="009E736C" w:rsidRDefault="006D394C" w:rsidP="00E236A4">
      <w:pPr>
        <w:spacing w:line="232" w:lineRule="auto"/>
        <w:jc w:val="both"/>
      </w:pPr>
      <w:r w:rsidRPr="006D394C">
        <w:t>Egger’s Test</w:t>
      </w:r>
      <w:r w:rsidR="009E736C">
        <w:t>:</w:t>
      </w:r>
      <w:r w:rsidRPr="006D394C">
        <w:tab/>
        <w:t>Statistical test to detect publication bias in meta-analyses</w:t>
      </w:r>
    </w:p>
    <w:p w14:paraId="7CA0139F" w14:textId="43087867" w:rsidR="00CE58A5" w:rsidRDefault="006D394C" w:rsidP="00E236A4">
      <w:pPr>
        <w:spacing w:line="232" w:lineRule="auto"/>
        <w:jc w:val="both"/>
      </w:pPr>
      <w:r w:rsidRPr="006D394C">
        <w:t>Chronic Pain</w:t>
      </w:r>
      <w:r w:rsidR="009E736C">
        <w:t>:</w:t>
      </w:r>
      <w:r w:rsidRPr="006D394C">
        <w:tab/>
        <w:t>Persistent or recurrent pain lasting longer than 3 months</w:t>
      </w:r>
    </w:p>
    <w:p w14:paraId="36FFE17C" w14:textId="77777777" w:rsidR="009E736C" w:rsidRDefault="009E736C" w:rsidP="00E236A4">
      <w:pPr>
        <w:spacing w:line="232" w:lineRule="auto"/>
        <w:jc w:val="both"/>
      </w:pPr>
      <w:bookmarkStart w:id="6" w:name="_GoBack"/>
      <w:bookmarkEnd w:id="6"/>
    </w:p>
    <w:p w14:paraId="00B1056A" w14:textId="2FEF016A" w:rsidR="007F1F48" w:rsidRPr="007F1F48" w:rsidRDefault="007F1F48" w:rsidP="00E236A4">
      <w:pPr>
        <w:spacing w:line="232" w:lineRule="auto"/>
        <w:jc w:val="both"/>
        <w:rPr>
          <w:b/>
          <w:bCs/>
        </w:rPr>
      </w:pPr>
      <w:r w:rsidRPr="007F1F48">
        <w:rPr>
          <w:b/>
          <w:bCs/>
        </w:rPr>
        <w:t>References</w:t>
      </w:r>
    </w:p>
    <w:p w14:paraId="0093F70D" w14:textId="77777777" w:rsidR="006E4C00" w:rsidRDefault="006E4C00" w:rsidP="006E4C00">
      <w:pPr>
        <w:pStyle w:val="ListParagraph"/>
        <w:numPr>
          <w:ilvl w:val="0"/>
          <w:numId w:val="20"/>
        </w:numPr>
        <w:spacing w:line="232" w:lineRule="auto"/>
        <w:ind w:left="1440"/>
        <w:jc w:val="both"/>
      </w:pPr>
      <w:r>
        <w:t>Gaskin DJ, Richard P. The economic costs of pain in the United States. J Pain. 2012 Aug;13(8):715-24.  Bair MJ, Robinson RL, Katon W, Kroenke K. Depression and pain comorbidity: a literature review. Arch Intern Med. 2003 Nov 10;163(20):2433-45.</w:t>
      </w:r>
    </w:p>
    <w:p w14:paraId="110BE83F" w14:textId="77777777" w:rsidR="006E4C00" w:rsidRDefault="006E4C00" w:rsidP="006E4C00">
      <w:pPr>
        <w:pStyle w:val="ListParagraph"/>
        <w:numPr>
          <w:ilvl w:val="0"/>
          <w:numId w:val="20"/>
        </w:numPr>
        <w:spacing w:line="232" w:lineRule="auto"/>
        <w:ind w:left="1440"/>
        <w:jc w:val="both"/>
      </w:pPr>
      <w:r>
        <w:t xml:space="preserve">Turk DC. Clinical and health psychology interventions for pain. Psychol Health. 2020 Aug;35(8):931-48. </w:t>
      </w:r>
    </w:p>
    <w:p w14:paraId="47794C85" w14:textId="78849318" w:rsidR="006E4C00" w:rsidRDefault="006E4C00" w:rsidP="006E4C00">
      <w:pPr>
        <w:pStyle w:val="ListParagraph"/>
        <w:numPr>
          <w:ilvl w:val="0"/>
          <w:numId w:val="20"/>
        </w:numPr>
        <w:spacing w:line="232" w:lineRule="auto"/>
        <w:ind w:left="1440"/>
        <w:jc w:val="both"/>
      </w:pPr>
      <w:r>
        <w:lastRenderedPageBreak/>
        <w:t xml:space="preserve"> Kabat-Zinn J. Full catastrophe living: Using the wisdom of your body and mind to face stress, pain, and illness. New York: Dell Publishing; 1990.</w:t>
      </w:r>
    </w:p>
    <w:p w14:paraId="0C9B5C8E" w14:textId="77777777" w:rsidR="006E4C00" w:rsidRDefault="006E4C00" w:rsidP="006E4C00">
      <w:pPr>
        <w:pStyle w:val="ListParagraph"/>
        <w:numPr>
          <w:ilvl w:val="0"/>
          <w:numId w:val="20"/>
        </w:numPr>
        <w:spacing w:line="232" w:lineRule="auto"/>
        <w:ind w:left="1440"/>
        <w:jc w:val="both"/>
      </w:pPr>
      <w:r>
        <w:t xml:space="preserve">Veehof MM, Oskam MJ, Schreurs KMG, Bohlmeijer ET. Acceptance-based interventions for the treatment of chronic pain: a systematic review and meta-analysis. Pain. 2011 Oct;152(10):2202-12. </w:t>
      </w:r>
    </w:p>
    <w:p w14:paraId="137956E6" w14:textId="3F573DFC" w:rsidR="006E4C00" w:rsidRDefault="006E4C00" w:rsidP="006E4C00">
      <w:pPr>
        <w:pStyle w:val="ListParagraph"/>
        <w:numPr>
          <w:ilvl w:val="0"/>
          <w:numId w:val="20"/>
        </w:numPr>
        <w:spacing w:line="232" w:lineRule="auto"/>
        <w:ind w:left="1440"/>
        <w:jc w:val="both"/>
      </w:pPr>
      <w:r>
        <w:t xml:space="preserve"> Zeidan F, Vago DR. Mindfulness meditation and the default mode network: a neural mechanism of self-reference. Biol Psychiatry Cogn Neurosci Neuroimaging. 2016 Apr;1(2):135-44.</w:t>
      </w:r>
    </w:p>
    <w:p w14:paraId="0BA9416F" w14:textId="77777777" w:rsidR="006E4C00" w:rsidRDefault="006E4C00" w:rsidP="006E4C00">
      <w:pPr>
        <w:pStyle w:val="ListParagraph"/>
        <w:numPr>
          <w:ilvl w:val="0"/>
          <w:numId w:val="20"/>
        </w:numPr>
        <w:spacing w:line="232" w:lineRule="auto"/>
        <w:ind w:left="1440"/>
        <w:jc w:val="both"/>
      </w:pPr>
      <w:r>
        <w:t xml:space="preserve">Hilton L, Hempel S, Ewing BA, Apaydin E, Crowe S, Danto S, et al. Mindfulness meditation for chronic pain: systematic review and meta-analysis. Ann Intern Med. 2017 Dec 19;167(12):861-69.  </w:t>
      </w:r>
    </w:p>
    <w:p w14:paraId="3107668F" w14:textId="7A4A3391" w:rsidR="006E4C00" w:rsidRDefault="006E4C00" w:rsidP="006E4C00">
      <w:pPr>
        <w:pStyle w:val="ListParagraph"/>
        <w:numPr>
          <w:ilvl w:val="0"/>
          <w:numId w:val="20"/>
        </w:numPr>
        <w:spacing w:line="232" w:lineRule="auto"/>
        <w:ind w:left="1440"/>
        <w:jc w:val="both"/>
      </w:pPr>
      <w:r>
        <w:t>Page MJ, McKenzie JE, Bossuyt PM, Boutron I, Hoffmann TC, Mulrow CD, et al. The PRISMA 2020 statement: an updated guideline for reporting systematic reviews. BMJ. 2021 Mar 29;372:n71.</w:t>
      </w:r>
    </w:p>
    <w:p w14:paraId="5CEA1861" w14:textId="77777777" w:rsidR="006E4C00" w:rsidRDefault="006E4C00" w:rsidP="006E4C00">
      <w:pPr>
        <w:pStyle w:val="ListParagraph"/>
        <w:numPr>
          <w:ilvl w:val="0"/>
          <w:numId w:val="20"/>
        </w:numPr>
        <w:spacing w:line="232" w:lineRule="auto"/>
        <w:ind w:left="1440"/>
        <w:jc w:val="both"/>
      </w:pPr>
      <w:r>
        <w:t xml:space="preserve">Higgins JPT, Thomas J, Chandler J, Cumpston M, Li T, Page MJ, et al. Cochrane Handbook for Systematic Reviews of Interventions version 6.4 (updated August 2023). Cochrane; 2023.  </w:t>
      </w:r>
    </w:p>
    <w:p w14:paraId="062E64ED" w14:textId="5624CD70" w:rsidR="006E4C00" w:rsidRDefault="006E4C00" w:rsidP="006E4C00">
      <w:pPr>
        <w:pStyle w:val="ListParagraph"/>
        <w:numPr>
          <w:ilvl w:val="0"/>
          <w:numId w:val="20"/>
        </w:numPr>
        <w:spacing w:line="232" w:lineRule="auto"/>
        <w:ind w:left="1440"/>
        <w:jc w:val="both"/>
      </w:pPr>
      <w:r>
        <w:t>Sterne JAC, Savović J, Page MJ, Elbers RL, Blencowe NS, Boutron I, et al. RoB 2: a revised Cochrane risk of bias tool for randomized trials. BMJ. 2019 Aug 28;366:l4898.</w:t>
      </w:r>
    </w:p>
    <w:p w14:paraId="255E45A4" w14:textId="77777777" w:rsidR="006E4C00" w:rsidRDefault="006E4C00" w:rsidP="006E4C00">
      <w:pPr>
        <w:pStyle w:val="ListParagraph"/>
        <w:numPr>
          <w:ilvl w:val="0"/>
          <w:numId w:val="20"/>
        </w:numPr>
        <w:spacing w:line="232" w:lineRule="auto"/>
        <w:ind w:left="1440"/>
        <w:jc w:val="both"/>
      </w:pPr>
      <w:r>
        <w:t xml:space="preserve">  Vøllestad J, Sivertsen B, Nielsen GH. Mindfulness-based stress reduction for patients with chronic low back pain: a randomized controlled trial. Behav Res Ther. 2012 Jun;50(5):333-43.  </w:t>
      </w:r>
    </w:p>
    <w:p w14:paraId="3CE28FC5" w14:textId="34C5DA8E" w:rsidR="006E4C00" w:rsidRDefault="006E4C00" w:rsidP="006E4C00">
      <w:pPr>
        <w:pStyle w:val="ListParagraph"/>
        <w:numPr>
          <w:ilvl w:val="0"/>
          <w:numId w:val="20"/>
        </w:numPr>
        <w:spacing w:line="232" w:lineRule="auto"/>
        <w:ind w:left="1440"/>
        <w:jc w:val="both"/>
      </w:pPr>
      <w:r>
        <w:t>Reiner K, Tibi L, Bornstein R. The impact of mindfulness on pain, anxiety, and depression in chronic pain sufferers. Clin J Pain. 2013 Aug;29(8):105-12.</w:t>
      </w:r>
    </w:p>
    <w:p w14:paraId="4368BCD0" w14:textId="77777777" w:rsidR="006E4C00" w:rsidRDefault="006E4C00" w:rsidP="006E4C00">
      <w:pPr>
        <w:pStyle w:val="ListParagraph"/>
        <w:numPr>
          <w:ilvl w:val="0"/>
          <w:numId w:val="20"/>
        </w:numPr>
        <w:spacing w:line="232" w:lineRule="auto"/>
        <w:ind w:left="1440"/>
        <w:jc w:val="both"/>
      </w:pPr>
      <w:r>
        <w:t xml:space="preserve">  Garland EL, Brintz CE, Hanley AW, de Dios MA, Hochhaler P, Afari N, et al. Mind-Body Bridging to ease the suffering of fibromyalgia: a randomized controlled trial.</w:t>
      </w:r>
    </w:p>
    <w:p w14:paraId="5AB250D5" w14:textId="4975B334" w:rsidR="006E4C00" w:rsidRDefault="006E4C00" w:rsidP="006E4C00">
      <w:pPr>
        <w:pStyle w:val="ListParagraph"/>
        <w:numPr>
          <w:ilvl w:val="0"/>
          <w:numId w:val="20"/>
        </w:numPr>
        <w:spacing w:line="232" w:lineRule="auto"/>
        <w:ind w:left="1440"/>
        <w:jc w:val="both"/>
      </w:pPr>
      <w:r>
        <w:t xml:space="preserve"> Pain. 2018 Apr;159(4):764-73.  Morone NE, Lynch CP, Greco CM. Mindfulness-based stress reduction for chronic pain in older adults: a randomized controlled trial. Pain. 2021 Mar;162(3):880-88.</w:t>
      </w:r>
    </w:p>
    <w:p w14:paraId="38FF4C5C" w14:textId="77777777" w:rsidR="006E4C00" w:rsidRDefault="006E4C00" w:rsidP="006E4C00">
      <w:pPr>
        <w:pStyle w:val="ListParagraph"/>
        <w:numPr>
          <w:ilvl w:val="0"/>
          <w:numId w:val="20"/>
        </w:numPr>
        <w:spacing w:line="232" w:lineRule="auto"/>
        <w:ind w:left="1440"/>
        <w:jc w:val="both"/>
      </w:pPr>
      <w:r>
        <w:t xml:space="preserve">  Hofmann SG, Sawyer AT, Witt AA, Oh D. The effect of mindfulness-based therapy on anxiety and depression: A meta-analytic review. J Consult Clin Psychol. 2010 Apr;78(2):169-83.</w:t>
      </w:r>
    </w:p>
    <w:p w14:paraId="05D3D42C" w14:textId="37CFC682" w:rsidR="006E4C00" w:rsidRDefault="006E4C00" w:rsidP="006E4C00">
      <w:pPr>
        <w:pStyle w:val="ListParagraph"/>
        <w:numPr>
          <w:ilvl w:val="0"/>
          <w:numId w:val="20"/>
        </w:numPr>
        <w:spacing w:line="232" w:lineRule="auto"/>
        <w:ind w:left="1440"/>
        <w:jc w:val="both"/>
      </w:pPr>
      <w:r>
        <w:t xml:space="preserve">  Williams AL, O'Connell N. The effect of mindfulness-based stress reduction on pain, psychological symptoms, and quality of life in patients with chronic pain: a systematic review and meta-analysis. J Behav Med. 2016 Feb;39(1):15-28.</w:t>
      </w:r>
    </w:p>
    <w:p w14:paraId="7E6A3728" w14:textId="77777777" w:rsidR="006E4C00" w:rsidRDefault="006E4C00" w:rsidP="006E4C00">
      <w:pPr>
        <w:pStyle w:val="ListParagraph"/>
        <w:numPr>
          <w:ilvl w:val="0"/>
          <w:numId w:val="20"/>
        </w:numPr>
        <w:spacing w:line="232" w:lineRule="auto"/>
        <w:ind w:left="1440"/>
        <w:jc w:val="both"/>
      </w:pPr>
      <w:r>
        <w:t xml:space="preserve">  Fjorback LO, Arendt M, Ørnbøl E, Walach H, Rehfeld E. Mindfulness-Based Stress Reduction and Mindfulness-Based Cognitive Therapy for Chronic Pain: A Systematic Review and Meta-analysis. Scand J Pain. 2019 Jul;19(3):395-408.</w:t>
      </w:r>
    </w:p>
    <w:p w14:paraId="2A7F58D4" w14:textId="5705390B" w:rsidR="006E4C00" w:rsidRDefault="006E4C00" w:rsidP="006E4C00">
      <w:pPr>
        <w:pStyle w:val="ListParagraph"/>
        <w:numPr>
          <w:ilvl w:val="0"/>
          <w:numId w:val="20"/>
        </w:numPr>
        <w:spacing w:line="232" w:lineRule="auto"/>
        <w:ind w:left="1440"/>
        <w:jc w:val="both"/>
      </w:pPr>
      <w:r>
        <w:t xml:space="preserve">  Hadjistavropoulos H, Sharpe D, Fuchs-Lacelle S. Correlates of pain in older adults: a review. Pain Res Manag. 2005 Winter;10(4):185-99.</w:t>
      </w:r>
    </w:p>
    <w:p w14:paraId="3C68A542" w14:textId="053BAF7B" w:rsidR="00F2623D" w:rsidRDefault="006E4C00" w:rsidP="006E4C00">
      <w:pPr>
        <w:pStyle w:val="ListParagraph"/>
        <w:numPr>
          <w:ilvl w:val="0"/>
          <w:numId w:val="20"/>
        </w:numPr>
        <w:spacing w:line="232" w:lineRule="auto"/>
        <w:ind w:left="1440"/>
        <w:jc w:val="both"/>
      </w:pPr>
      <w:r>
        <w:t xml:space="preserve">  Crane RS, Eames C, Kuyken W, Hastings P, Williams K, Evans A, et al. Development and validation of the Mindfulness-Based Interventions – Teaching Assessment Criteria (MBI:TAC). Assessment. 2017 Feb;24(1):15-24.</w:t>
      </w:r>
    </w:p>
    <w:p w14:paraId="5DC7B861" w14:textId="77777777" w:rsidR="006D394C" w:rsidRDefault="006D394C" w:rsidP="006D394C">
      <w:pPr>
        <w:pStyle w:val="ListParagraph"/>
        <w:spacing w:line="232" w:lineRule="auto"/>
        <w:ind w:left="1440"/>
        <w:jc w:val="both"/>
      </w:pPr>
    </w:p>
    <w:p w14:paraId="23F46446" w14:textId="57864818" w:rsidR="00425CA5" w:rsidRPr="00425CA5" w:rsidRDefault="00425CA5" w:rsidP="00363C18">
      <w:pPr>
        <w:spacing w:line="232" w:lineRule="auto"/>
        <w:jc w:val="both"/>
        <w:rPr>
          <w:b/>
          <w:bCs/>
        </w:rPr>
      </w:pPr>
      <w:r w:rsidRPr="00425CA5">
        <w:rPr>
          <w:b/>
          <w:bCs/>
        </w:rPr>
        <w:t>Appendices</w:t>
      </w:r>
    </w:p>
    <w:p w14:paraId="53C50739" w14:textId="77777777" w:rsidR="006D394C" w:rsidRDefault="006D394C" w:rsidP="006D394C">
      <w:pPr>
        <w:spacing w:line="230" w:lineRule="auto"/>
      </w:pPr>
      <w:r>
        <w:t>Appendix A. Search StrategyThis appendix provides the complete search strategy used for PubMed, Embase, Web of Science, and PsycINFO up to September 2023. It includes all keywords, Medical Subject Headings (MeSH) terms, Boolean operators, and any truncation/wildcard symbols applied. Each database search was adapted to its indexing system and syntax to ensure comprehensive coverage of studies on mindfulness-based interventions (MBIs) for chronic pain.</w:t>
      </w:r>
    </w:p>
    <w:p w14:paraId="48B30161" w14:textId="77777777" w:rsidR="006D394C" w:rsidRDefault="006D394C" w:rsidP="006D394C">
      <w:pPr>
        <w:spacing w:line="230" w:lineRule="auto"/>
      </w:pPr>
      <w:r>
        <w:t>Appendix B. Study Selection Flow DiagramA detailed PRISMA 2020 flowchart illustrating the study selection process, including the total number of records identified, duplicates removed, records screened, full-text articles assessed for eligibility, and studies ultimately included in the systematic review and meta-analysis.</w:t>
      </w:r>
    </w:p>
    <w:p w14:paraId="1648C0C1" w14:textId="77777777" w:rsidR="006D394C" w:rsidRDefault="006D394C" w:rsidP="006D394C">
      <w:pPr>
        <w:spacing w:line="230" w:lineRule="auto"/>
      </w:pPr>
      <w:r>
        <w:t>Appendix C. Risk of Bias AssessmentA comprehensive table summarizing the assessment of risk of bias for all included studies using the Cochrane Risk of Bias 2.0 (RoB 2) tool. Judgments are provided for each domain: randomization process, deviations from intended interventions, missing outcome data, measurement of the outcome, and selection of the reported result, along with an overall risk of bias rating.</w:t>
      </w:r>
    </w:p>
    <w:p w14:paraId="00176FC7" w14:textId="77777777" w:rsidR="006D394C" w:rsidRDefault="006D394C" w:rsidP="006D394C">
      <w:pPr>
        <w:spacing w:line="230" w:lineRule="auto"/>
      </w:pPr>
      <w:r>
        <w:t>Appendix D. Data Extraction FormThe standardized form used to extract key information from each study, including: author and year, country, sample size, participant characteristics (age, sex, pain condition), intervention details (type, duration, delivery method), comparator type, outcome measures (anxiety and depression scales), follow-up duration, and reported effect sizes.</w:t>
      </w:r>
    </w:p>
    <w:p w14:paraId="1E27D998" w14:textId="77777777" w:rsidR="006D394C" w:rsidRDefault="006D394C" w:rsidP="006D394C">
      <w:pPr>
        <w:spacing w:line="230" w:lineRule="auto"/>
      </w:pPr>
      <w:r>
        <w:t>Appendix E. Subgroup and Sensitivity AnalysesTables and forest plots showing subgroup analyses based on control type (inactive vs. active), intervention duration, and pain severity. Sensitivity analyses are also included to test the robustness of pooled estimates by excluding studies at high risk of bias or with extreme effect sizes.</w:t>
      </w:r>
    </w:p>
    <w:p w14:paraId="2C84AC49" w14:textId="79D36DD0" w:rsidR="000B200C" w:rsidRDefault="006D394C" w:rsidP="006D394C">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r>
        <w:t>Appendix F. Funnel Plots and Publication BiasFunnel plots and Egger’s test results are presented to visually and statistically assess the potential for publication bias in the meta-analysis of anxiety and depression outcomes.</w:t>
      </w:r>
    </w:p>
    <w:p w14:paraId="78D22457" w14:textId="77777777" w:rsidR="0098445B" w:rsidRDefault="0098445B" w:rsidP="00363C18">
      <w:pPr>
        <w:spacing w:line="230" w:lineRule="auto"/>
        <w:jc w:val="both"/>
      </w:pPr>
    </w:p>
    <w:p w14:paraId="30C903CF" w14:textId="77777777" w:rsidR="00992AEA" w:rsidRDefault="00992AEA" w:rsidP="00363C18">
      <w:pPr>
        <w:spacing w:line="230" w:lineRule="auto"/>
        <w:jc w:val="both"/>
      </w:pPr>
    </w:p>
    <w:p w14:paraId="2AA3ECC0" w14:textId="77777777" w:rsidR="00992AEA" w:rsidRDefault="00992AEA" w:rsidP="00363C18">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A8526" w14:textId="77777777" w:rsidR="00BB5877" w:rsidRDefault="00BB5877">
      <w:r>
        <w:separator/>
      </w:r>
    </w:p>
  </w:endnote>
  <w:endnote w:type="continuationSeparator" w:id="0">
    <w:p w14:paraId="115C42DA" w14:textId="77777777" w:rsidR="00BB5877" w:rsidRDefault="00BB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4D0FA5D6"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9E736C">
      <w:rPr>
        <w:caps/>
      </w:rPr>
      <w:t>5</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0268D" w14:textId="77777777" w:rsidR="00BB5877" w:rsidRDefault="00BB5877" w:rsidP="0010114F">
      <w:pPr>
        <w:bidi/>
      </w:pPr>
      <w:r>
        <w:separator/>
      </w:r>
    </w:p>
  </w:footnote>
  <w:footnote w:type="continuationSeparator" w:id="0">
    <w:p w14:paraId="533EFC1D" w14:textId="77777777" w:rsidR="00BB5877" w:rsidRDefault="00BB58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8E6019"/>
    <w:multiLevelType w:val="hybridMultilevel"/>
    <w:tmpl w:val="E99EFA64"/>
    <w:lvl w:ilvl="0" w:tplc="2F1E0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C3553D"/>
    <w:multiLevelType w:val="multilevel"/>
    <w:tmpl w:val="AB767106"/>
    <w:lvl w:ilvl="0">
      <w:start w:val="1"/>
      <w:numFmt w:val="decimal"/>
      <w:lvlText w:val="%1."/>
      <w:lvlJc w:val="left"/>
      <w:pPr>
        <w:ind w:left="720" w:hanging="360"/>
      </w:pPr>
      <w:rPr>
        <w:rFonts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DF5A46"/>
    <w:multiLevelType w:val="hybridMultilevel"/>
    <w:tmpl w:val="09E25E9C"/>
    <w:lvl w:ilvl="0" w:tplc="2F1E06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5D1CAC"/>
    <w:multiLevelType w:val="hybridMultilevel"/>
    <w:tmpl w:val="38486FA0"/>
    <w:lvl w:ilvl="0" w:tplc="2F1E0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89096E"/>
    <w:multiLevelType w:val="hybridMultilevel"/>
    <w:tmpl w:val="098EF0D6"/>
    <w:lvl w:ilvl="0" w:tplc="2F1E06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19"/>
  </w:num>
  <w:num w:numId="4">
    <w:abstractNumId w:val="0"/>
  </w:num>
  <w:num w:numId="5">
    <w:abstractNumId w:val="7"/>
  </w:num>
  <w:num w:numId="6">
    <w:abstractNumId w:val="17"/>
  </w:num>
  <w:num w:numId="7">
    <w:abstractNumId w:val="1"/>
  </w:num>
  <w:num w:numId="8">
    <w:abstractNumId w:val="13"/>
  </w:num>
  <w:num w:numId="9">
    <w:abstractNumId w:val="16"/>
  </w:num>
  <w:num w:numId="10">
    <w:abstractNumId w:val="2"/>
  </w:num>
  <w:num w:numId="11">
    <w:abstractNumId w:val="10"/>
  </w:num>
  <w:num w:numId="12">
    <w:abstractNumId w:val="3"/>
  </w:num>
  <w:num w:numId="13">
    <w:abstractNumId w:val="15"/>
  </w:num>
  <w:num w:numId="14">
    <w:abstractNumId w:val="18"/>
  </w:num>
  <w:num w:numId="15">
    <w:abstractNumId w:val="14"/>
  </w:num>
  <w:num w:numId="16">
    <w:abstractNumId w:val="6"/>
  </w:num>
  <w:num w:numId="17">
    <w:abstractNumId w:val="11"/>
  </w:num>
  <w:num w:numId="18">
    <w:abstractNumId w:val="5"/>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0A15"/>
    <w:rsid w:val="00031EC5"/>
    <w:rsid w:val="000329D0"/>
    <w:rsid w:val="00035264"/>
    <w:rsid w:val="00040DAF"/>
    <w:rsid w:val="00044F59"/>
    <w:rsid w:val="00046639"/>
    <w:rsid w:val="000474F1"/>
    <w:rsid w:val="00051E2F"/>
    <w:rsid w:val="000544DC"/>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56F"/>
    <w:rsid w:val="0013069E"/>
    <w:rsid w:val="00131AD7"/>
    <w:rsid w:val="0013403B"/>
    <w:rsid w:val="00134809"/>
    <w:rsid w:val="001416CC"/>
    <w:rsid w:val="00142AF8"/>
    <w:rsid w:val="00153EED"/>
    <w:rsid w:val="00155FDD"/>
    <w:rsid w:val="00157225"/>
    <w:rsid w:val="00162D71"/>
    <w:rsid w:val="00162E8E"/>
    <w:rsid w:val="00163651"/>
    <w:rsid w:val="0016451D"/>
    <w:rsid w:val="00164B5C"/>
    <w:rsid w:val="00164C34"/>
    <w:rsid w:val="00165C51"/>
    <w:rsid w:val="001663D4"/>
    <w:rsid w:val="0016778F"/>
    <w:rsid w:val="00172619"/>
    <w:rsid w:val="001728A9"/>
    <w:rsid w:val="00173A0D"/>
    <w:rsid w:val="00173D81"/>
    <w:rsid w:val="00175EF9"/>
    <w:rsid w:val="00176BAB"/>
    <w:rsid w:val="00176BE5"/>
    <w:rsid w:val="00182E20"/>
    <w:rsid w:val="00182F64"/>
    <w:rsid w:val="00183B12"/>
    <w:rsid w:val="001840C1"/>
    <w:rsid w:val="00184EDB"/>
    <w:rsid w:val="001904AE"/>
    <w:rsid w:val="00191527"/>
    <w:rsid w:val="00191934"/>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E7063"/>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0640"/>
    <w:rsid w:val="002D5004"/>
    <w:rsid w:val="002D6EAE"/>
    <w:rsid w:val="002D7C93"/>
    <w:rsid w:val="002E35D5"/>
    <w:rsid w:val="002E38A9"/>
    <w:rsid w:val="002E55BC"/>
    <w:rsid w:val="002E5D92"/>
    <w:rsid w:val="002E5DCF"/>
    <w:rsid w:val="002F45C4"/>
    <w:rsid w:val="002F6FBE"/>
    <w:rsid w:val="002F7B24"/>
    <w:rsid w:val="002F7D84"/>
    <w:rsid w:val="003004E2"/>
    <w:rsid w:val="00301FF5"/>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107"/>
    <w:rsid w:val="00333C9C"/>
    <w:rsid w:val="00333FC8"/>
    <w:rsid w:val="00340489"/>
    <w:rsid w:val="00350911"/>
    <w:rsid w:val="00350DEE"/>
    <w:rsid w:val="00351FFC"/>
    <w:rsid w:val="00352B33"/>
    <w:rsid w:val="00353BEC"/>
    <w:rsid w:val="00353CA5"/>
    <w:rsid w:val="0035544D"/>
    <w:rsid w:val="00362A6F"/>
    <w:rsid w:val="00362B04"/>
    <w:rsid w:val="00363C18"/>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18E6"/>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911"/>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5CA5"/>
    <w:rsid w:val="00436729"/>
    <w:rsid w:val="00440630"/>
    <w:rsid w:val="0044088C"/>
    <w:rsid w:val="00440981"/>
    <w:rsid w:val="00440A98"/>
    <w:rsid w:val="004435BB"/>
    <w:rsid w:val="00445FD5"/>
    <w:rsid w:val="00446439"/>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A6BED"/>
    <w:rsid w:val="004A7D3C"/>
    <w:rsid w:val="004B07E1"/>
    <w:rsid w:val="004B12AD"/>
    <w:rsid w:val="004B1AE8"/>
    <w:rsid w:val="004B7672"/>
    <w:rsid w:val="004C04A6"/>
    <w:rsid w:val="004C0B2C"/>
    <w:rsid w:val="004C1956"/>
    <w:rsid w:val="004C1D6E"/>
    <w:rsid w:val="004C30F5"/>
    <w:rsid w:val="004C4985"/>
    <w:rsid w:val="004C4AAD"/>
    <w:rsid w:val="004C5F65"/>
    <w:rsid w:val="004D1805"/>
    <w:rsid w:val="004D2087"/>
    <w:rsid w:val="004D268B"/>
    <w:rsid w:val="004D3739"/>
    <w:rsid w:val="004D4572"/>
    <w:rsid w:val="004E2ABD"/>
    <w:rsid w:val="004E3E66"/>
    <w:rsid w:val="004E4356"/>
    <w:rsid w:val="004E4FDF"/>
    <w:rsid w:val="004E795C"/>
    <w:rsid w:val="004F4413"/>
    <w:rsid w:val="004F672C"/>
    <w:rsid w:val="00504855"/>
    <w:rsid w:val="005057FC"/>
    <w:rsid w:val="00505D8B"/>
    <w:rsid w:val="00507432"/>
    <w:rsid w:val="00514D9B"/>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6EF3"/>
    <w:rsid w:val="00567870"/>
    <w:rsid w:val="005701A9"/>
    <w:rsid w:val="00570A3E"/>
    <w:rsid w:val="00570FEC"/>
    <w:rsid w:val="0057301A"/>
    <w:rsid w:val="005776E5"/>
    <w:rsid w:val="00583F0F"/>
    <w:rsid w:val="00585B4E"/>
    <w:rsid w:val="005900EF"/>
    <w:rsid w:val="00590891"/>
    <w:rsid w:val="00593F13"/>
    <w:rsid w:val="00594C88"/>
    <w:rsid w:val="0059697C"/>
    <w:rsid w:val="005A1400"/>
    <w:rsid w:val="005A2B71"/>
    <w:rsid w:val="005A5AEB"/>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55A81"/>
    <w:rsid w:val="00661450"/>
    <w:rsid w:val="00662912"/>
    <w:rsid w:val="00663FDC"/>
    <w:rsid w:val="006653A4"/>
    <w:rsid w:val="006670CC"/>
    <w:rsid w:val="006676C9"/>
    <w:rsid w:val="006678D2"/>
    <w:rsid w:val="0067212E"/>
    <w:rsid w:val="006740A5"/>
    <w:rsid w:val="00674811"/>
    <w:rsid w:val="00675015"/>
    <w:rsid w:val="00683BCE"/>
    <w:rsid w:val="00690695"/>
    <w:rsid w:val="0069162F"/>
    <w:rsid w:val="00693864"/>
    <w:rsid w:val="00694FA3"/>
    <w:rsid w:val="0069645E"/>
    <w:rsid w:val="00696656"/>
    <w:rsid w:val="006A10F4"/>
    <w:rsid w:val="006A2DF0"/>
    <w:rsid w:val="006A3018"/>
    <w:rsid w:val="006A371A"/>
    <w:rsid w:val="006B3E69"/>
    <w:rsid w:val="006B6E95"/>
    <w:rsid w:val="006C09E5"/>
    <w:rsid w:val="006C6FA5"/>
    <w:rsid w:val="006C7784"/>
    <w:rsid w:val="006D035D"/>
    <w:rsid w:val="006D106C"/>
    <w:rsid w:val="006D18F6"/>
    <w:rsid w:val="006D394C"/>
    <w:rsid w:val="006D62BD"/>
    <w:rsid w:val="006D65F1"/>
    <w:rsid w:val="006D6DCA"/>
    <w:rsid w:val="006E2777"/>
    <w:rsid w:val="006E30C4"/>
    <w:rsid w:val="006E4C00"/>
    <w:rsid w:val="006E65FC"/>
    <w:rsid w:val="006E677A"/>
    <w:rsid w:val="006E7010"/>
    <w:rsid w:val="006F2B63"/>
    <w:rsid w:val="006F4EED"/>
    <w:rsid w:val="006F5037"/>
    <w:rsid w:val="0070090C"/>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85F74"/>
    <w:rsid w:val="0079383F"/>
    <w:rsid w:val="007A7A27"/>
    <w:rsid w:val="007C1BFF"/>
    <w:rsid w:val="007C2032"/>
    <w:rsid w:val="007C2B72"/>
    <w:rsid w:val="007D2A63"/>
    <w:rsid w:val="007D49A1"/>
    <w:rsid w:val="007D62B6"/>
    <w:rsid w:val="007D68E1"/>
    <w:rsid w:val="007E1DFC"/>
    <w:rsid w:val="007E31F1"/>
    <w:rsid w:val="007E5C60"/>
    <w:rsid w:val="007E704E"/>
    <w:rsid w:val="007F1F48"/>
    <w:rsid w:val="007F47BC"/>
    <w:rsid w:val="00801170"/>
    <w:rsid w:val="00802275"/>
    <w:rsid w:val="00805178"/>
    <w:rsid w:val="00805F81"/>
    <w:rsid w:val="00807515"/>
    <w:rsid w:val="00810B8F"/>
    <w:rsid w:val="00810D38"/>
    <w:rsid w:val="008116A1"/>
    <w:rsid w:val="008116BE"/>
    <w:rsid w:val="00820579"/>
    <w:rsid w:val="00825878"/>
    <w:rsid w:val="00825C75"/>
    <w:rsid w:val="00825E8A"/>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66DB1"/>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A4BF3"/>
    <w:rsid w:val="008B2916"/>
    <w:rsid w:val="008B420A"/>
    <w:rsid w:val="008B514E"/>
    <w:rsid w:val="008C35C4"/>
    <w:rsid w:val="008C75F1"/>
    <w:rsid w:val="008D2717"/>
    <w:rsid w:val="008D2B91"/>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17A11"/>
    <w:rsid w:val="0092264A"/>
    <w:rsid w:val="009236D3"/>
    <w:rsid w:val="00923CBA"/>
    <w:rsid w:val="00924FD5"/>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E736C"/>
    <w:rsid w:val="009F048E"/>
    <w:rsid w:val="009F0B9D"/>
    <w:rsid w:val="009F5FCD"/>
    <w:rsid w:val="009F6551"/>
    <w:rsid w:val="009F749F"/>
    <w:rsid w:val="009F7F43"/>
    <w:rsid w:val="00A0049D"/>
    <w:rsid w:val="00A006D2"/>
    <w:rsid w:val="00A01AAD"/>
    <w:rsid w:val="00A04681"/>
    <w:rsid w:val="00A0546B"/>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6379"/>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4EFF"/>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5877"/>
    <w:rsid w:val="00BB773E"/>
    <w:rsid w:val="00BC43AC"/>
    <w:rsid w:val="00BC7208"/>
    <w:rsid w:val="00BC7950"/>
    <w:rsid w:val="00BD0793"/>
    <w:rsid w:val="00BD2599"/>
    <w:rsid w:val="00BD614A"/>
    <w:rsid w:val="00BD6CE5"/>
    <w:rsid w:val="00BE39D0"/>
    <w:rsid w:val="00BF4CA1"/>
    <w:rsid w:val="00C03CB8"/>
    <w:rsid w:val="00C04412"/>
    <w:rsid w:val="00C04C99"/>
    <w:rsid w:val="00C069AF"/>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0785"/>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2305"/>
    <w:rsid w:val="00C93A47"/>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58A5"/>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1F2"/>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760CB"/>
    <w:rsid w:val="00D818D5"/>
    <w:rsid w:val="00D81D0B"/>
    <w:rsid w:val="00D81E2B"/>
    <w:rsid w:val="00D82DFF"/>
    <w:rsid w:val="00D9071E"/>
    <w:rsid w:val="00D9168A"/>
    <w:rsid w:val="00D9324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142C"/>
    <w:rsid w:val="00DE67A4"/>
    <w:rsid w:val="00DF32C7"/>
    <w:rsid w:val="00DF4193"/>
    <w:rsid w:val="00DF4800"/>
    <w:rsid w:val="00DF62CC"/>
    <w:rsid w:val="00DF7688"/>
    <w:rsid w:val="00DF7C0A"/>
    <w:rsid w:val="00E010F3"/>
    <w:rsid w:val="00E052C8"/>
    <w:rsid w:val="00E06155"/>
    <w:rsid w:val="00E12090"/>
    <w:rsid w:val="00E13A68"/>
    <w:rsid w:val="00E15525"/>
    <w:rsid w:val="00E219D8"/>
    <w:rsid w:val="00E22DF8"/>
    <w:rsid w:val="00E236A4"/>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31C6"/>
    <w:rsid w:val="00EA4AC7"/>
    <w:rsid w:val="00EA5BD5"/>
    <w:rsid w:val="00EA5D99"/>
    <w:rsid w:val="00EA6EAB"/>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4FC9"/>
    <w:rsid w:val="00EF59E8"/>
    <w:rsid w:val="00EF68A1"/>
    <w:rsid w:val="00EF68E4"/>
    <w:rsid w:val="00F03934"/>
    <w:rsid w:val="00F03B6B"/>
    <w:rsid w:val="00F04A05"/>
    <w:rsid w:val="00F11726"/>
    <w:rsid w:val="00F12787"/>
    <w:rsid w:val="00F1356F"/>
    <w:rsid w:val="00F137F6"/>
    <w:rsid w:val="00F1735E"/>
    <w:rsid w:val="00F2036E"/>
    <w:rsid w:val="00F2328A"/>
    <w:rsid w:val="00F23D94"/>
    <w:rsid w:val="00F2618A"/>
    <w:rsid w:val="00F2623D"/>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76CF2"/>
    <w:rsid w:val="00F82249"/>
    <w:rsid w:val="00F82916"/>
    <w:rsid w:val="00F8313C"/>
    <w:rsid w:val="00F857F0"/>
    <w:rsid w:val="00F8777D"/>
    <w:rsid w:val="00F87A7A"/>
    <w:rsid w:val="00F93332"/>
    <w:rsid w:val="00F9409A"/>
    <w:rsid w:val="00F944B7"/>
    <w:rsid w:val="00FA353F"/>
    <w:rsid w:val="00FA3CDD"/>
    <w:rsid w:val="00FA494D"/>
    <w:rsid w:val="00FB0A0E"/>
    <w:rsid w:val="00FB4B1C"/>
    <w:rsid w:val="00FB6C1B"/>
    <w:rsid w:val="00FC0293"/>
    <w:rsid w:val="00FC70CE"/>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4F4413"/>
    <w:pPr>
      <w:ind w:left="720"/>
      <w:contextualSpacing/>
    </w:pPr>
  </w:style>
  <w:style w:type="character" w:customStyle="1" w:styleId="p">
    <w:name w:val="p"/>
    <w:basedOn w:val="DefaultParagraphFont"/>
    <w:rsid w:val="00F23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82146662">
      <w:bodyDiv w:val="1"/>
      <w:marLeft w:val="0"/>
      <w:marRight w:val="0"/>
      <w:marTop w:val="0"/>
      <w:marBottom w:val="0"/>
      <w:divBdr>
        <w:top w:val="none" w:sz="0" w:space="0" w:color="auto"/>
        <w:left w:val="none" w:sz="0" w:space="0" w:color="auto"/>
        <w:bottom w:val="none" w:sz="0" w:space="0" w:color="auto"/>
        <w:right w:val="none" w:sz="0" w:space="0" w:color="auto"/>
      </w:divBdr>
      <w:divsChild>
        <w:div w:id="187257051">
          <w:marLeft w:val="0"/>
          <w:marRight w:val="0"/>
          <w:marTop w:val="0"/>
          <w:marBottom w:val="0"/>
          <w:divBdr>
            <w:top w:val="none" w:sz="0" w:space="0" w:color="auto"/>
            <w:left w:val="none" w:sz="0" w:space="0" w:color="auto"/>
            <w:bottom w:val="none" w:sz="0" w:space="0" w:color="auto"/>
            <w:right w:val="none" w:sz="0" w:space="0" w:color="auto"/>
          </w:divBdr>
        </w:div>
      </w:divsChild>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592739860">
      <w:bodyDiv w:val="1"/>
      <w:marLeft w:val="0"/>
      <w:marRight w:val="0"/>
      <w:marTop w:val="0"/>
      <w:marBottom w:val="0"/>
      <w:divBdr>
        <w:top w:val="none" w:sz="0" w:space="0" w:color="auto"/>
        <w:left w:val="none" w:sz="0" w:space="0" w:color="auto"/>
        <w:bottom w:val="none" w:sz="0" w:space="0" w:color="auto"/>
        <w:right w:val="none" w:sz="0" w:space="0" w:color="auto"/>
      </w:divBdr>
      <w:divsChild>
        <w:div w:id="601648357">
          <w:marLeft w:val="0"/>
          <w:marRight w:val="0"/>
          <w:marTop w:val="0"/>
          <w:marBottom w:val="0"/>
          <w:divBdr>
            <w:top w:val="none" w:sz="0" w:space="0" w:color="auto"/>
            <w:left w:val="none" w:sz="0" w:space="0" w:color="auto"/>
            <w:bottom w:val="none" w:sz="0" w:space="0" w:color="auto"/>
            <w:right w:val="none" w:sz="0" w:space="0" w:color="auto"/>
          </w:divBdr>
        </w:div>
      </w:divsChild>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38869837">
      <w:bodyDiv w:val="1"/>
      <w:marLeft w:val="0"/>
      <w:marRight w:val="0"/>
      <w:marTop w:val="0"/>
      <w:marBottom w:val="0"/>
      <w:divBdr>
        <w:top w:val="none" w:sz="0" w:space="0" w:color="auto"/>
        <w:left w:val="none" w:sz="0" w:space="0" w:color="auto"/>
        <w:bottom w:val="none" w:sz="0" w:space="0" w:color="auto"/>
        <w:right w:val="none" w:sz="0" w:space="0" w:color="auto"/>
      </w:divBdr>
      <w:divsChild>
        <w:div w:id="165286811">
          <w:marLeft w:val="0"/>
          <w:marRight w:val="0"/>
          <w:marTop w:val="0"/>
          <w:marBottom w:val="0"/>
          <w:divBdr>
            <w:top w:val="none" w:sz="0" w:space="0" w:color="auto"/>
            <w:left w:val="none" w:sz="0" w:space="0" w:color="auto"/>
            <w:bottom w:val="none" w:sz="0" w:space="0" w:color="auto"/>
            <w:right w:val="none" w:sz="0" w:space="0" w:color="auto"/>
          </w:divBdr>
        </w:div>
      </w:divsChild>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90127525">
      <w:bodyDiv w:val="1"/>
      <w:marLeft w:val="0"/>
      <w:marRight w:val="0"/>
      <w:marTop w:val="0"/>
      <w:marBottom w:val="0"/>
      <w:divBdr>
        <w:top w:val="none" w:sz="0" w:space="0" w:color="auto"/>
        <w:left w:val="none" w:sz="0" w:space="0" w:color="auto"/>
        <w:bottom w:val="none" w:sz="0" w:space="0" w:color="auto"/>
        <w:right w:val="none" w:sz="0" w:space="0" w:color="auto"/>
      </w:divBdr>
      <w:divsChild>
        <w:div w:id="1657302709">
          <w:marLeft w:val="0"/>
          <w:marRight w:val="0"/>
          <w:marTop w:val="0"/>
          <w:marBottom w:val="0"/>
          <w:divBdr>
            <w:top w:val="none" w:sz="0" w:space="0" w:color="auto"/>
            <w:left w:val="none" w:sz="0" w:space="0" w:color="auto"/>
            <w:bottom w:val="none" w:sz="0" w:space="0" w:color="auto"/>
            <w:right w:val="none" w:sz="0" w:space="0" w:color="auto"/>
          </w:divBdr>
        </w:div>
      </w:divsChild>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29001841">
      <w:bodyDiv w:val="1"/>
      <w:marLeft w:val="0"/>
      <w:marRight w:val="0"/>
      <w:marTop w:val="0"/>
      <w:marBottom w:val="0"/>
      <w:divBdr>
        <w:top w:val="none" w:sz="0" w:space="0" w:color="auto"/>
        <w:left w:val="none" w:sz="0" w:space="0" w:color="auto"/>
        <w:bottom w:val="none" w:sz="0" w:space="0" w:color="auto"/>
        <w:right w:val="none" w:sz="0" w:space="0" w:color="auto"/>
      </w:divBdr>
      <w:divsChild>
        <w:div w:id="1080370473">
          <w:marLeft w:val="0"/>
          <w:marRight w:val="0"/>
          <w:marTop w:val="0"/>
          <w:marBottom w:val="0"/>
          <w:divBdr>
            <w:top w:val="none" w:sz="0" w:space="0" w:color="auto"/>
            <w:left w:val="none" w:sz="0" w:space="0" w:color="auto"/>
            <w:bottom w:val="none" w:sz="0" w:space="0" w:color="auto"/>
            <w:right w:val="none" w:sz="0" w:space="0" w:color="auto"/>
          </w:divBdr>
        </w:div>
      </w:divsChild>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65510776">
      <w:bodyDiv w:val="1"/>
      <w:marLeft w:val="0"/>
      <w:marRight w:val="0"/>
      <w:marTop w:val="0"/>
      <w:marBottom w:val="0"/>
      <w:divBdr>
        <w:top w:val="none" w:sz="0" w:space="0" w:color="auto"/>
        <w:left w:val="none" w:sz="0" w:space="0" w:color="auto"/>
        <w:bottom w:val="none" w:sz="0" w:space="0" w:color="auto"/>
        <w:right w:val="none" w:sz="0" w:space="0" w:color="auto"/>
      </w:divBdr>
      <w:divsChild>
        <w:div w:id="664866195">
          <w:marLeft w:val="0"/>
          <w:marRight w:val="0"/>
          <w:marTop w:val="0"/>
          <w:marBottom w:val="0"/>
          <w:divBdr>
            <w:top w:val="none" w:sz="0" w:space="0" w:color="auto"/>
            <w:left w:val="none" w:sz="0" w:space="0" w:color="auto"/>
            <w:bottom w:val="none" w:sz="0" w:space="0" w:color="auto"/>
            <w:right w:val="none" w:sz="0" w:space="0" w:color="auto"/>
          </w:divBdr>
        </w:div>
      </w:divsChild>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15074506">
      <w:bodyDiv w:val="1"/>
      <w:marLeft w:val="0"/>
      <w:marRight w:val="0"/>
      <w:marTop w:val="0"/>
      <w:marBottom w:val="0"/>
      <w:divBdr>
        <w:top w:val="none" w:sz="0" w:space="0" w:color="auto"/>
        <w:left w:val="none" w:sz="0" w:space="0" w:color="auto"/>
        <w:bottom w:val="none" w:sz="0" w:space="0" w:color="auto"/>
        <w:right w:val="none" w:sz="0" w:space="0" w:color="auto"/>
      </w:divBdr>
      <w:divsChild>
        <w:div w:id="1747533000">
          <w:marLeft w:val="0"/>
          <w:marRight w:val="0"/>
          <w:marTop w:val="0"/>
          <w:marBottom w:val="0"/>
          <w:divBdr>
            <w:top w:val="none" w:sz="0" w:space="0" w:color="auto"/>
            <w:left w:val="none" w:sz="0" w:space="0" w:color="auto"/>
            <w:bottom w:val="none" w:sz="0" w:space="0" w:color="auto"/>
            <w:right w:val="none" w:sz="0" w:space="0" w:color="auto"/>
          </w:divBdr>
        </w:div>
      </w:divsChild>
    </w:div>
    <w:div w:id="1560097028">
      <w:bodyDiv w:val="1"/>
      <w:marLeft w:val="0"/>
      <w:marRight w:val="0"/>
      <w:marTop w:val="0"/>
      <w:marBottom w:val="0"/>
      <w:divBdr>
        <w:top w:val="none" w:sz="0" w:space="0" w:color="auto"/>
        <w:left w:val="none" w:sz="0" w:space="0" w:color="auto"/>
        <w:bottom w:val="none" w:sz="0" w:space="0" w:color="auto"/>
        <w:right w:val="none" w:sz="0" w:space="0" w:color="auto"/>
      </w:divBdr>
      <w:divsChild>
        <w:div w:id="2056545509">
          <w:marLeft w:val="0"/>
          <w:marRight w:val="0"/>
          <w:marTop w:val="0"/>
          <w:marBottom w:val="0"/>
          <w:divBdr>
            <w:top w:val="none" w:sz="0" w:space="0" w:color="auto"/>
            <w:left w:val="none" w:sz="0" w:space="0" w:color="auto"/>
            <w:bottom w:val="none" w:sz="0" w:space="0" w:color="auto"/>
            <w:right w:val="none" w:sz="0" w:space="0" w:color="auto"/>
          </w:divBdr>
        </w:div>
      </w:divsChild>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73085194">
      <w:bodyDiv w:val="1"/>
      <w:marLeft w:val="0"/>
      <w:marRight w:val="0"/>
      <w:marTop w:val="0"/>
      <w:marBottom w:val="0"/>
      <w:divBdr>
        <w:top w:val="none" w:sz="0" w:space="0" w:color="auto"/>
        <w:left w:val="none" w:sz="0" w:space="0" w:color="auto"/>
        <w:bottom w:val="none" w:sz="0" w:space="0" w:color="auto"/>
        <w:right w:val="none" w:sz="0" w:space="0" w:color="auto"/>
      </w:divBdr>
      <w:divsChild>
        <w:div w:id="1037586283">
          <w:marLeft w:val="0"/>
          <w:marRight w:val="0"/>
          <w:marTop w:val="0"/>
          <w:marBottom w:val="0"/>
          <w:divBdr>
            <w:top w:val="none" w:sz="0" w:space="0" w:color="auto"/>
            <w:left w:val="none" w:sz="0" w:space="0" w:color="auto"/>
            <w:bottom w:val="none" w:sz="0" w:space="0" w:color="auto"/>
            <w:right w:val="none" w:sz="0" w:space="0" w:color="auto"/>
          </w:divBdr>
        </w:div>
      </w:divsChild>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140418431">
      <w:bodyDiv w:val="1"/>
      <w:marLeft w:val="0"/>
      <w:marRight w:val="0"/>
      <w:marTop w:val="0"/>
      <w:marBottom w:val="0"/>
      <w:divBdr>
        <w:top w:val="none" w:sz="0" w:space="0" w:color="auto"/>
        <w:left w:val="none" w:sz="0" w:space="0" w:color="auto"/>
        <w:bottom w:val="none" w:sz="0" w:space="0" w:color="auto"/>
        <w:right w:val="none" w:sz="0" w:space="0" w:color="auto"/>
      </w:divBdr>
      <w:divsChild>
        <w:div w:id="1542093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58F9D-322E-44AB-99F3-4A3F3624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3418</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cp:lastModifiedBy>
  <cp:revision>80</cp:revision>
  <cp:lastPrinted>2007-05-16T03:26:00Z</cp:lastPrinted>
  <dcterms:created xsi:type="dcterms:W3CDTF">2024-02-26T10:03:00Z</dcterms:created>
  <dcterms:modified xsi:type="dcterms:W3CDTF">2025-11-12T14:27:00Z</dcterms:modified>
</cp:coreProperties>
</file>