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D2FCC" w14:textId="77777777" w:rsidR="004858A4" w:rsidRDefault="004858A4" w:rsidP="004858A4">
      <w:pPr>
        <w:bidi/>
        <w:spacing w:after="160" w:line="259" w:lineRule="auto"/>
        <w:jc w:val="center"/>
        <w:rPr>
          <w:rFonts w:eastAsia="Calibri" w:cs="Times New Roman"/>
          <w:b/>
          <w:bCs/>
          <w:noProof w:val="0"/>
          <w:sz w:val="22"/>
          <w:szCs w:val="22"/>
          <w:lang w:val="en" w:bidi="fa-IR"/>
        </w:rPr>
      </w:pPr>
    </w:p>
    <w:p w14:paraId="01C78292" w14:textId="77777777" w:rsidR="004858A4" w:rsidRDefault="004858A4" w:rsidP="004858A4">
      <w:pPr>
        <w:bidi/>
        <w:spacing w:after="160" w:line="259" w:lineRule="auto"/>
        <w:jc w:val="center"/>
        <w:rPr>
          <w:rFonts w:eastAsia="Calibri" w:cs="Times New Roman"/>
          <w:b/>
          <w:bCs/>
          <w:noProof w:val="0"/>
          <w:sz w:val="22"/>
          <w:szCs w:val="22"/>
          <w:lang w:val="en" w:bidi="fa-IR"/>
        </w:rPr>
      </w:pPr>
    </w:p>
    <w:p w14:paraId="24E475BD" w14:textId="0EDAFA78" w:rsidR="004858A4" w:rsidRPr="004858A4" w:rsidRDefault="004858A4" w:rsidP="004858A4">
      <w:pPr>
        <w:bidi/>
        <w:spacing w:after="160" w:line="259" w:lineRule="auto"/>
        <w:jc w:val="center"/>
        <w:rPr>
          <w:rFonts w:eastAsia="Calibri" w:cs="Times New Roman"/>
          <w:b/>
          <w:bCs/>
          <w:noProof w:val="0"/>
          <w:sz w:val="28"/>
          <w:szCs w:val="28"/>
          <w:lang w:val="en" w:bidi="fa-IR"/>
        </w:rPr>
      </w:pPr>
      <w:r w:rsidRPr="004858A4">
        <w:rPr>
          <w:rFonts w:eastAsia="Calibri" w:cs="Times New Roman"/>
          <w:b/>
          <w:bCs/>
          <w:noProof w:val="0"/>
          <w:sz w:val="28"/>
          <w:szCs w:val="28"/>
          <w:lang w:val="en" w:bidi="fa-IR"/>
        </w:rPr>
        <w:t>A Systematic Review on the Impact of Spiritual Nursing Care on Parental Acceptance of Death in Children With End</w:t>
      </w:r>
      <w:r w:rsidRPr="004858A4">
        <w:rPr>
          <w:rFonts w:eastAsia="Calibri" w:cs="Times New Roman"/>
          <w:b/>
          <w:bCs/>
          <w:noProof w:val="0"/>
          <w:sz w:val="28"/>
          <w:szCs w:val="28"/>
          <w:lang w:val="en" w:bidi="fa-IR"/>
        </w:rPr>
        <w:noBreakHyphen/>
        <w:t>Stage Leukemia</w:t>
      </w:r>
    </w:p>
    <w:p w14:paraId="6B85966B" w14:textId="27CAEB3B" w:rsidR="004858A4" w:rsidRPr="004858A4" w:rsidRDefault="004858A4" w:rsidP="004858A4">
      <w:pPr>
        <w:bidi/>
        <w:spacing w:after="160" w:line="259" w:lineRule="auto"/>
        <w:jc w:val="center"/>
        <w:rPr>
          <w:rFonts w:eastAsia="Calibri" w:cs="Times New Roman"/>
          <w:b/>
          <w:bCs/>
          <w:noProof w:val="0"/>
          <w:lang w:bidi="fa-IR"/>
        </w:rPr>
      </w:pPr>
      <w:r w:rsidRPr="004858A4">
        <w:rPr>
          <w:rFonts w:eastAsia="Calibri" w:cs="Times New Roman"/>
          <w:b/>
          <w:bCs/>
          <w:noProof w:val="0"/>
          <w:lang w:bidi="fa-IR"/>
        </w:rPr>
        <w:t>Sajad Nazari</w:t>
      </w:r>
      <w:r w:rsidRPr="004858A4">
        <w:rPr>
          <w:rFonts w:eastAsia="Calibri" w:cs="Times New Roman"/>
          <w:b/>
          <w:bCs/>
          <w:noProof w:val="0"/>
          <w:vertAlign w:val="superscript"/>
          <w:lang w:bidi="fa-IR"/>
        </w:rPr>
        <w:t>1</w:t>
      </w:r>
      <w:r w:rsidRPr="004858A4">
        <w:rPr>
          <w:rFonts w:eastAsia="Calibri" w:cs="Times New Roman"/>
          <w:b/>
          <w:bCs/>
          <w:noProof w:val="0"/>
          <w:lang w:bidi="fa-IR"/>
        </w:rPr>
        <w:t xml:space="preserve"> Mohsen Aghabeygi Arani</w:t>
      </w:r>
      <w:r w:rsidRPr="004858A4">
        <w:rPr>
          <w:rFonts w:eastAsia="Calibri" w:cs="Times New Roman"/>
          <w:b/>
          <w:bCs/>
          <w:noProof w:val="0"/>
          <w:vertAlign w:val="superscript"/>
          <w:lang w:bidi="fa-IR"/>
        </w:rPr>
        <w:t>2</w:t>
      </w:r>
      <w:r w:rsidRPr="004858A4">
        <w:rPr>
          <w:rFonts w:eastAsia="Calibri" w:cs="Times New Roman"/>
          <w:b/>
          <w:bCs/>
          <w:noProof w:val="0"/>
          <w:lang w:bidi="fa-IR"/>
        </w:rPr>
        <w:t xml:space="preserve"> </w:t>
      </w:r>
      <w:r w:rsidRPr="004858A4">
        <w:rPr>
          <w:rFonts w:eastAsia="Calibri" w:cs="Times New Roman"/>
          <w:b/>
          <w:bCs/>
          <w:noProof w:val="0"/>
          <w:lang w:bidi="fa-IR"/>
        </w:rPr>
        <w:t xml:space="preserve"> </w:t>
      </w:r>
      <w:r w:rsidRPr="004858A4">
        <w:rPr>
          <w:rFonts w:eastAsia="Calibri" w:cs="Times New Roman"/>
          <w:b/>
          <w:bCs/>
          <w:noProof w:val="0"/>
          <w:lang w:bidi="fa-IR"/>
        </w:rPr>
        <w:t xml:space="preserve"> Rose Sheipary</w:t>
      </w:r>
      <w:r w:rsidRPr="004858A4">
        <w:rPr>
          <w:rFonts w:eastAsia="Calibri" w:cs="Times New Roman"/>
          <w:b/>
          <w:bCs/>
          <w:noProof w:val="0"/>
          <w:vertAlign w:val="superscript"/>
          <w:lang w:bidi="fa-IR"/>
        </w:rPr>
        <w:t>3</w:t>
      </w:r>
      <w:r w:rsidRPr="004858A4">
        <w:rPr>
          <w:rFonts w:eastAsia="Calibri" w:cs="Times New Roman"/>
          <w:b/>
          <w:bCs/>
          <w:noProof w:val="0"/>
          <w:lang w:bidi="fa-IR"/>
        </w:rPr>
        <w:t xml:space="preserve">  </w:t>
      </w:r>
      <w:r w:rsidRPr="004858A4">
        <w:rPr>
          <w:rFonts w:eastAsia="Calibri" w:cs="Times New Roman"/>
          <w:b/>
          <w:bCs/>
          <w:noProof w:val="0"/>
          <w:lang w:bidi="fa-IR"/>
        </w:rPr>
        <w:t xml:space="preserve"> </w:t>
      </w:r>
      <w:r w:rsidRPr="004858A4">
        <w:rPr>
          <w:rFonts w:eastAsia="Calibri" w:cs="Times New Roman"/>
          <w:b/>
          <w:bCs/>
          <w:noProof w:val="0"/>
          <w:lang w:bidi="fa-IR"/>
        </w:rPr>
        <w:t>Mehrshad Mohebifar</w:t>
      </w:r>
      <w:r w:rsidRPr="004858A4">
        <w:rPr>
          <w:rFonts w:eastAsia="Calibri" w:cs="Times New Roman"/>
          <w:b/>
          <w:bCs/>
          <w:noProof w:val="0"/>
          <w:vertAlign w:val="superscript"/>
          <w:lang w:bidi="fa-IR"/>
        </w:rPr>
        <w:t>1*</w:t>
      </w:r>
    </w:p>
    <w:p w14:paraId="7EE88100" w14:textId="77777777" w:rsidR="004858A4" w:rsidRPr="004858A4" w:rsidRDefault="004858A4" w:rsidP="004858A4">
      <w:pPr>
        <w:bidi/>
        <w:spacing w:after="160" w:line="259" w:lineRule="auto"/>
        <w:jc w:val="center"/>
        <w:rPr>
          <w:rFonts w:eastAsia="Calibri" w:cs="Times New Roman"/>
          <w:noProof w:val="0"/>
          <w:sz w:val="16"/>
          <w:szCs w:val="16"/>
          <w:lang w:bidi="fa-IR"/>
        </w:rPr>
      </w:pPr>
      <w:r w:rsidRPr="004858A4">
        <w:rPr>
          <w:rFonts w:eastAsia="Calibri" w:cs="Times New Roman"/>
          <w:b/>
          <w:bCs/>
          <w:noProof w:val="0"/>
          <w:sz w:val="16"/>
          <w:szCs w:val="16"/>
          <w:vertAlign w:val="superscript"/>
          <w:lang w:bidi="fa-IR"/>
        </w:rPr>
        <w:t>1</w:t>
      </w:r>
      <w:r w:rsidRPr="004858A4">
        <w:rPr>
          <w:rFonts w:eastAsia="Calibri" w:cs="Times New Roman"/>
          <w:noProof w:val="0"/>
          <w:sz w:val="16"/>
          <w:szCs w:val="16"/>
          <w:lang w:bidi="fa-IR"/>
        </w:rPr>
        <w:t>MSc Student in Pediatric Nursing, Student Research Committee, Hamadan University of Medical Sciences, Hamadan, Iran.</w:t>
      </w:r>
    </w:p>
    <w:p w14:paraId="38A9E033" w14:textId="77777777" w:rsidR="004858A4" w:rsidRPr="004858A4" w:rsidRDefault="004858A4" w:rsidP="004858A4">
      <w:pPr>
        <w:spacing w:before="100" w:beforeAutospacing="1" w:after="100" w:afterAutospacing="1"/>
        <w:jc w:val="center"/>
        <w:rPr>
          <w:rFonts w:cs="Times New Roman"/>
          <w:noProof w:val="0"/>
          <w:sz w:val="16"/>
          <w:szCs w:val="16"/>
          <w:lang w:val="en" w:bidi="fa-IR"/>
        </w:rPr>
      </w:pPr>
      <w:r w:rsidRPr="004858A4">
        <w:rPr>
          <w:rFonts w:cs="Times New Roman"/>
          <w:i/>
          <w:iCs/>
          <w:noProof w:val="0"/>
          <w:sz w:val="16"/>
          <w:szCs w:val="16"/>
          <w:vertAlign w:val="superscript"/>
          <w:lang w:bidi="fa-IR"/>
        </w:rPr>
        <w:t>2</w:t>
      </w:r>
      <w:r w:rsidRPr="004858A4">
        <w:rPr>
          <w:rFonts w:cs="Times New Roman"/>
          <w:noProof w:val="0"/>
          <w:sz w:val="16"/>
          <w:szCs w:val="16"/>
          <w:lang w:val="en" w:bidi="fa-IR"/>
        </w:rPr>
        <w:t>MSc in Rehabilitation Nursing</w:t>
      </w:r>
      <w:r w:rsidRPr="004858A4">
        <w:rPr>
          <w:rFonts w:cs="Times New Roman"/>
          <w:i/>
          <w:iCs/>
          <w:noProof w:val="0"/>
          <w:sz w:val="16"/>
          <w:szCs w:val="16"/>
          <w:lang w:val="en" w:bidi="fa-IR"/>
        </w:rPr>
        <w:t>,</w:t>
      </w:r>
      <w:r w:rsidRPr="004858A4">
        <w:rPr>
          <w:rFonts w:cs="Times New Roman"/>
          <w:noProof w:val="0"/>
          <w:sz w:val="16"/>
          <w:szCs w:val="16"/>
          <w:lang w:bidi="fa-IR"/>
        </w:rPr>
        <w:t xml:space="preserve"> Shohada Haft</w:t>
      </w:r>
      <w:r w:rsidRPr="004858A4">
        <w:rPr>
          <w:rFonts w:cs="Times New Roman"/>
          <w:noProof w:val="0"/>
          <w:sz w:val="16"/>
          <w:szCs w:val="16"/>
          <w:lang w:bidi="fa-IR"/>
        </w:rPr>
        <w:noBreakHyphen/>
        <w:t>Tir Hospital, Iran University of Medical Sciences, Tehran, Iran</w:t>
      </w:r>
      <w:r w:rsidRPr="004858A4">
        <w:rPr>
          <w:rFonts w:cs="Times New Roman"/>
          <w:noProof w:val="0"/>
          <w:sz w:val="16"/>
          <w:szCs w:val="16"/>
          <w:lang w:val="en" w:bidi="fa-IR"/>
        </w:rPr>
        <w:t>.</w:t>
      </w:r>
    </w:p>
    <w:p w14:paraId="680AE076" w14:textId="1AF775C6" w:rsidR="004858A4" w:rsidRPr="004858A4" w:rsidRDefault="004858A4" w:rsidP="004858A4">
      <w:pPr>
        <w:spacing w:before="100" w:beforeAutospacing="1" w:after="100" w:afterAutospacing="1"/>
        <w:jc w:val="center"/>
        <w:rPr>
          <w:rFonts w:cs="Times New Roman"/>
          <w:i/>
          <w:iCs/>
          <w:noProof w:val="0"/>
          <w:sz w:val="16"/>
          <w:szCs w:val="16"/>
          <w:lang w:val="en" w:bidi="fa-IR"/>
        </w:rPr>
      </w:pPr>
      <w:r w:rsidRPr="004858A4">
        <w:rPr>
          <w:rFonts w:cs="Times New Roman" w:hint="cs"/>
          <w:i/>
          <w:iCs/>
          <w:noProof w:val="0"/>
          <w:sz w:val="16"/>
          <w:szCs w:val="16"/>
          <w:vertAlign w:val="superscript"/>
          <w:rtl/>
          <w:lang w:bidi="fa-IR"/>
        </w:rPr>
        <w:t>3</w:t>
      </w:r>
      <w:r w:rsidRPr="004858A4">
        <w:rPr>
          <w:rFonts w:cs="Times New Roman"/>
          <w:noProof w:val="0"/>
          <w:sz w:val="16"/>
          <w:szCs w:val="16"/>
          <w:lang w:val="en" w:bidi="fa-IR"/>
        </w:rPr>
        <w:t>BSc in Nursing</w:t>
      </w:r>
      <w:r w:rsidRPr="004858A4">
        <w:rPr>
          <w:rFonts w:cs="Times New Roman"/>
          <w:i/>
          <w:iCs/>
          <w:noProof w:val="0"/>
          <w:sz w:val="16"/>
          <w:szCs w:val="16"/>
          <w:lang w:bidi="fa-IR"/>
        </w:rPr>
        <w:t xml:space="preserve"> ,</w:t>
      </w:r>
      <w:r w:rsidRPr="004858A4">
        <w:rPr>
          <w:rFonts w:cs="Times New Roman"/>
          <w:noProof w:val="0"/>
          <w:sz w:val="16"/>
          <w:szCs w:val="16"/>
          <w:lang w:bidi="fa-IR"/>
        </w:rPr>
        <w:t>Shohada Haft</w:t>
      </w:r>
      <w:r w:rsidRPr="004858A4">
        <w:rPr>
          <w:rFonts w:cs="Times New Roman"/>
          <w:noProof w:val="0"/>
          <w:sz w:val="16"/>
          <w:szCs w:val="16"/>
          <w:lang w:bidi="fa-IR"/>
        </w:rPr>
        <w:noBreakHyphen/>
        <w:t>T</w:t>
      </w:r>
      <w:bookmarkStart w:id="0" w:name="_GoBack"/>
      <w:bookmarkEnd w:id="0"/>
      <w:r w:rsidRPr="004858A4">
        <w:rPr>
          <w:rFonts w:cs="Times New Roman"/>
          <w:noProof w:val="0"/>
          <w:sz w:val="16"/>
          <w:szCs w:val="16"/>
          <w:lang w:bidi="fa-IR"/>
        </w:rPr>
        <w:t>ir Hospital, Iran University of Medical Sciences, Tehran, Iran</w:t>
      </w:r>
      <w:r w:rsidRPr="004858A4">
        <w:rPr>
          <w:rFonts w:cs="Times New Roman"/>
          <w:i/>
          <w:iCs/>
          <w:noProof w:val="0"/>
          <w:sz w:val="16"/>
          <w:szCs w:val="16"/>
          <w:lang w:val="en" w:bidi="fa-IR"/>
        </w:rPr>
        <w:t>.</w:t>
      </w:r>
    </w:p>
    <w:p w14:paraId="04520A34" w14:textId="77777777" w:rsidR="004858A4" w:rsidRPr="004858A4" w:rsidRDefault="004858A4" w:rsidP="004858A4">
      <w:pPr>
        <w:spacing w:after="160" w:line="259" w:lineRule="auto"/>
        <w:jc w:val="both"/>
        <w:rPr>
          <w:rFonts w:eastAsia="Calibri" w:cs="Times New Roman"/>
          <w:b/>
          <w:bCs/>
          <w:noProof w:val="0"/>
          <w:sz w:val="22"/>
          <w:szCs w:val="22"/>
          <w:lang w:val="en" w:bidi="fa-IR"/>
        </w:rPr>
      </w:pPr>
      <w:r w:rsidRPr="004858A4">
        <w:rPr>
          <w:rFonts w:eastAsia="Calibri" w:cs="Times New Roman"/>
          <w:b/>
          <w:bCs/>
          <w:noProof w:val="0"/>
          <w:sz w:val="22"/>
          <w:szCs w:val="22"/>
          <w:lang w:val="en" w:bidi="fa-IR"/>
        </w:rPr>
        <w:t>Abstract</w:t>
      </w:r>
    </w:p>
    <w:p w14:paraId="5A5E1F9E" w14:textId="77777777" w:rsidR="004858A4" w:rsidRPr="004858A4" w:rsidRDefault="004858A4" w:rsidP="004858A4">
      <w:pPr>
        <w:spacing w:after="160" w:line="259" w:lineRule="auto"/>
        <w:jc w:val="both"/>
        <w:rPr>
          <w:rFonts w:eastAsia="Calibri" w:cs="Times New Roman"/>
          <w:noProof w:val="0"/>
          <w:sz w:val="22"/>
          <w:szCs w:val="22"/>
          <w:lang w:val="en" w:bidi="fa-IR"/>
        </w:rPr>
      </w:pPr>
      <w:r w:rsidRPr="004858A4">
        <w:rPr>
          <w:rFonts w:eastAsia="Calibri" w:cs="Times New Roman"/>
          <w:b/>
          <w:bCs/>
          <w:noProof w:val="0"/>
          <w:sz w:val="22"/>
          <w:szCs w:val="22"/>
          <w:lang w:val="en" w:bidi="fa-IR"/>
        </w:rPr>
        <w:t>Background:</w:t>
      </w:r>
      <w:r w:rsidRPr="004858A4">
        <w:rPr>
          <w:rFonts w:eastAsia="Calibri" w:cs="Times New Roman"/>
          <w:noProof w:val="0"/>
          <w:sz w:val="22"/>
          <w:szCs w:val="22"/>
          <w:lang w:val="en" w:bidi="fa-IR"/>
        </w:rPr>
        <w:t>End</w:t>
      </w:r>
      <w:r w:rsidRPr="004858A4">
        <w:rPr>
          <w:rFonts w:eastAsia="Calibri" w:cs="Times New Roman"/>
          <w:noProof w:val="0"/>
          <w:sz w:val="22"/>
          <w:szCs w:val="22"/>
          <w:lang w:val="en" w:bidi="fa-IR"/>
        </w:rPr>
        <w:noBreakHyphen/>
        <w:t>stage pediatric leukemia represents one of the most emotionally overwhelming experiences for parents, generating intense psychological, existential, and spiritual challenges. Confronting a child’s impending death often results in profound grief, denial, and a sense of loss of meaning. Within the holistic framework of pediatric palliative nursing, spiritual care constitutes a key therapeutic domain that promotes resilience and peaceful acceptance through hope, connectedness, and transcendence.</w:t>
      </w:r>
    </w:p>
    <w:p w14:paraId="67EFC91D" w14:textId="77777777" w:rsidR="004858A4" w:rsidRPr="004858A4" w:rsidRDefault="004858A4" w:rsidP="004858A4">
      <w:pPr>
        <w:spacing w:after="160" w:line="259" w:lineRule="auto"/>
        <w:jc w:val="both"/>
        <w:rPr>
          <w:rFonts w:eastAsia="Calibri" w:cs="Times New Roman"/>
          <w:noProof w:val="0"/>
          <w:sz w:val="22"/>
          <w:szCs w:val="22"/>
          <w:lang w:val="en" w:bidi="fa-IR"/>
        </w:rPr>
      </w:pPr>
      <w:r w:rsidRPr="004858A4">
        <w:rPr>
          <w:rFonts w:eastAsia="Calibri" w:cs="Times New Roman"/>
          <w:b/>
          <w:bCs/>
          <w:noProof w:val="0"/>
          <w:sz w:val="22"/>
          <w:szCs w:val="22"/>
          <w:lang w:val="en" w:bidi="fa-IR"/>
        </w:rPr>
        <w:t>Objective:</w:t>
      </w:r>
      <w:r w:rsidRPr="004858A4">
        <w:rPr>
          <w:rFonts w:eastAsia="Calibri" w:cs="Times New Roman"/>
          <w:noProof w:val="0"/>
          <w:sz w:val="22"/>
          <w:szCs w:val="22"/>
          <w:lang w:val="en" w:bidi="fa-IR"/>
        </w:rPr>
        <w:t>This systematic review aimed to critically evaluate and synthesize global empirical evidence on how spiritual nursing care influences parental acceptance of their child’s death in cases of end</w:t>
      </w:r>
      <w:r w:rsidRPr="004858A4">
        <w:rPr>
          <w:rFonts w:eastAsia="Calibri" w:cs="Times New Roman"/>
          <w:noProof w:val="0"/>
          <w:sz w:val="22"/>
          <w:szCs w:val="22"/>
          <w:lang w:val="en" w:bidi="fa-IR"/>
        </w:rPr>
        <w:noBreakHyphen/>
        <w:t>stage leukemia, emphasizing effective interventions and cross</w:t>
      </w:r>
      <w:r w:rsidRPr="004858A4">
        <w:rPr>
          <w:rFonts w:eastAsia="Calibri" w:cs="Times New Roman"/>
          <w:noProof w:val="0"/>
          <w:sz w:val="22"/>
          <w:szCs w:val="22"/>
          <w:lang w:val="en" w:bidi="fa-IR"/>
        </w:rPr>
        <w:noBreakHyphen/>
        <w:t>cultural perspectives.</w:t>
      </w:r>
    </w:p>
    <w:p w14:paraId="750339C5" w14:textId="77777777" w:rsidR="004858A4" w:rsidRPr="004858A4" w:rsidRDefault="004858A4" w:rsidP="004858A4">
      <w:pPr>
        <w:spacing w:after="160" w:line="259" w:lineRule="auto"/>
        <w:jc w:val="both"/>
        <w:rPr>
          <w:rFonts w:eastAsia="Calibri" w:cs="Times New Roman"/>
          <w:noProof w:val="0"/>
          <w:sz w:val="22"/>
          <w:szCs w:val="22"/>
          <w:lang w:val="en" w:bidi="fa-IR"/>
        </w:rPr>
      </w:pPr>
      <w:r w:rsidRPr="004858A4">
        <w:rPr>
          <w:rFonts w:eastAsia="Calibri" w:cs="Times New Roman"/>
          <w:b/>
          <w:bCs/>
          <w:noProof w:val="0"/>
          <w:sz w:val="22"/>
          <w:szCs w:val="22"/>
          <w:lang w:val="en" w:bidi="fa-IR"/>
        </w:rPr>
        <w:t>Methods:</w:t>
      </w:r>
      <w:r w:rsidRPr="004858A4">
        <w:rPr>
          <w:rFonts w:eastAsia="Calibri" w:cs="Times New Roman"/>
          <w:noProof w:val="0"/>
          <w:sz w:val="22"/>
          <w:szCs w:val="22"/>
          <w:lang w:val="en" w:bidi="fa-IR"/>
        </w:rPr>
        <w:t xml:space="preserve">Following the PRISMA protocol, databases including </w:t>
      </w:r>
      <w:r w:rsidRPr="004858A4">
        <w:rPr>
          <w:rFonts w:eastAsia="Calibri" w:cs="Times New Roman"/>
          <w:i/>
          <w:iCs/>
          <w:noProof w:val="0"/>
          <w:sz w:val="22"/>
          <w:szCs w:val="22"/>
          <w:lang w:val="en" w:bidi="fa-IR"/>
        </w:rPr>
        <w:t>PubMed, Scopus, CINAHL, Web of Science,</w:t>
      </w:r>
      <w:r w:rsidRPr="004858A4">
        <w:rPr>
          <w:rFonts w:eastAsia="Calibri" w:cs="Times New Roman"/>
          <w:noProof w:val="0"/>
          <w:sz w:val="22"/>
          <w:szCs w:val="22"/>
          <w:lang w:val="en" w:bidi="fa-IR"/>
        </w:rPr>
        <w:t xml:space="preserve"> and </w:t>
      </w:r>
      <w:r w:rsidRPr="004858A4">
        <w:rPr>
          <w:rFonts w:eastAsia="Calibri" w:cs="Times New Roman"/>
          <w:i/>
          <w:iCs/>
          <w:noProof w:val="0"/>
          <w:sz w:val="22"/>
          <w:szCs w:val="22"/>
          <w:lang w:val="en" w:bidi="fa-IR"/>
        </w:rPr>
        <w:t>Google Scholar</w:t>
      </w:r>
      <w:r w:rsidRPr="004858A4">
        <w:rPr>
          <w:rFonts w:eastAsia="Calibri" w:cs="Times New Roman"/>
          <w:noProof w:val="0"/>
          <w:sz w:val="22"/>
          <w:szCs w:val="22"/>
          <w:lang w:val="en" w:bidi="fa-IR"/>
        </w:rPr>
        <w:t xml:space="preserve"> were systematically searched for publications between January 2015 and May 2025. The search employed combined keywords: </w:t>
      </w:r>
      <w:r w:rsidRPr="004858A4">
        <w:rPr>
          <w:rFonts w:eastAsia="Calibri" w:cs="Times New Roman"/>
          <w:i/>
          <w:iCs/>
          <w:noProof w:val="0"/>
          <w:sz w:val="22"/>
          <w:szCs w:val="22"/>
          <w:lang w:val="en" w:bidi="fa-IR"/>
        </w:rPr>
        <w:t>spiritual care, pediatric leukemia, parental coping, end</w:t>
      </w:r>
      <w:r w:rsidRPr="004858A4">
        <w:rPr>
          <w:rFonts w:eastAsia="Calibri" w:cs="Times New Roman"/>
          <w:i/>
          <w:iCs/>
          <w:noProof w:val="0"/>
          <w:sz w:val="22"/>
          <w:szCs w:val="22"/>
          <w:lang w:val="en" w:bidi="fa-IR"/>
        </w:rPr>
        <w:noBreakHyphen/>
        <w:t>of</w:t>
      </w:r>
      <w:r w:rsidRPr="004858A4">
        <w:rPr>
          <w:rFonts w:eastAsia="Calibri" w:cs="Times New Roman"/>
          <w:i/>
          <w:iCs/>
          <w:noProof w:val="0"/>
          <w:sz w:val="22"/>
          <w:szCs w:val="22"/>
          <w:lang w:val="en" w:bidi="fa-IR"/>
        </w:rPr>
        <w:noBreakHyphen/>
        <w:t>life, palliative nursing,</w:t>
      </w:r>
      <w:r w:rsidRPr="004858A4">
        <w:rPr>
          <w:rFonts w:eastAsia="Calibri" w:cs="Times New Roman"/>
          <w:noProof w:val="0"/>
          <w:sz w:val="22"/>
          <w:szCs w:val="22"/>
          <w:lang w:val="en" w:bidi="fa-IR"/>
        </w:rPr>
        <w:t xml:space="preserve"> and </w:t>
      </w:r>
      <w:r w:rsidRPr="004858A4">
        <w:rPr>
          <w:rFonts w:eastAsia="Calibri" w:cs="Times New Roman"/>
          <w:i/>
          <w:iCs/>
          <w:noProof w:val="0"/>
          <w:sz w:val="22"/>
          <w:szCs w:val="22"/>
          <w:lang w:val="en" w:bidi="fa-IR"/>
        </w:rPr>
        <w:t>death acceptance.</w:t>
      </w:r>
      <w:r w:rsidRPr="004858A4">
        <w:rPr>
          <w:rFonts w:eastAsia="Calibri" w:cs="Times New Roman"/>
          <w:noProof w:val="0"/>
          <w:sz w:val="22"/>
          <w:szCs w:val="22"/>
          <w:lang w:val="en" w:bidi="fa-IR"/>
        </w:rPr>
        <w:t xml:space="preserve"> Eligible studies—quantitative, qualitative, and mixed</w:t>
      </w:r>
      <w:r w:rsidRPr="004858A4">
        <w:rPr>
          <w:rFonts w:eastAsia="Calibri" w:cs="Times New Roman"/>
          <w:noProof w:val="0"/>
          <w:sz w:val="22"/>
          <w:szCs w:val="22"/>
          <w:lang w:val="en" w:bidi="fa-IR"/>
        </w:rPr>
        <w:noBreakHyphen/>
        <w:t>methods—were screened, critically appraised using Joanna Briggs Institute quality tools, and synthesized through an integrative thematic approach to identify common patterns and conceptual frameworks.</w:t>
      </w:r>
    </w:p>
    <w:p w14:paraId="17CC2B69" w14:textId="77777777" w:rsidR="004858A4" w:rsidRPr="004858A4" w:rsidRDefault="004858A4" w:rsidP="004858A4">
      <w:pPr>
        <w:spacing w:after="160" w:line="259" w:lineRule="auto"/>
        <w:jc w:val="both"/>
        <w:rPr>
          <w:rFonts w:eastAsia="Calibri" w:cs="Times New Roman"/>
          <w:noProof w:val="0"/>
          <w:sz w:val="22"/>
          <w:szCs w:val="22"/>
          <w:lang w:val="en" w:bidi="fa-IR"/>
        </w:rPr>
      </w:pPr>
      <w:r w:rsidRPr="004858A4">
        <w:rPr>
          <w:rFonts w:eastAsia="Calibri" w:cs="Times New Roman"/>
          <w:b/>
          <w:bCs/>
          <w:noProof w:val="0"/>
          <w:sz w:val="22"/>
          <w:szCs w:val="22"/>
          <w:lang w:val="en" w:bidi="fa-IR"/>
        </w:rPr>
        <w:t>Results:</w:t>
      </w:r>
      <w:r w:rsidRPr="004858A4">
        <w:rPr>
          <w:rFonts w:eastAsia="Calibri" w:cs="Times New Roman"/>
          <w:noProof w:val="0"/>
          <w:sz w:val="22"/>
          <w:szCs w:val="22"/>
          <w:lang w:val="en" w:bidi="fa-IR"/>
        </w:rPr>
        <w:t>A total of 746 records were screened, with 22 studies meeting the inclusion criteria across diverse cultural contexts (Iran, Japan, the United States, Brazil, and Australia). Findings consistently showed that structured spiritual interventions—such as guided prayer, reflective dialogue, mindfulness-based support, meaning</w:t>
      </w:r>
      <w:r w:rsidRPr="004858A4">
        <w:rPr>
          <w:rFonts w:eastAsia="Calibri" w:cs="Times New Roman"/>
          <w:noProof w:val="0"/>
          <w:sz w:val="22"/>
          <w:szCs w:val="22"/>
          <w:lang w:val="en" w:bidi="fa-IR"/>
        </w:rPr>
        <w:noBreakHyphen/>
        <w:t>centered therapy, and pastoral counseling—significantly improved parental spiritual well</w:t>
      </w:r>
      <w:r w:rsidRPr="004858A4">
        <w:rPr>
          <w:rFonts w:eastAsia="Calibri" w:cs="Times New Roman"/>
          <w:noProof w:val="0"/>
          <w:sz w:val="22"/>
          <w:szCs w:val="22"/>
          <w:lang w:val="en" w:bidi="fa-IR"/>
        </w:rPr>
        <w:noBreakHyphen/>
        <w:t>being and existential preparedness for loss. Studies reported enhanced communication with the dying child, reduced hopelessness, and progressive movement toward acceptance when nurses initiated spiritual care early in the palliative trajectory. Integrative analyses revealed that culturally sensitive and nurse</w:t>
      </w:r>
      <w:r w:rsidRPr="004858A4">
        <w:rPr>
          <w:rFonts w:eastAsia="Calibri" w:cs="Times New Roman"/>
          <w:noProof w:val="0"/>
          <w:sz w:val="22"/>
          <w:szCs w:val="22"/>
          <w:lang w:val="en" w:bidi="fa-IR"/>
        </w:rPr>
        <w:noBreakHyphen/>
        <w:t>led approaches were most effective in helping parents reinterpret death as a meaningful transition rather than an irreversible failure.</w:t>
      </w:r>
    </w:p>
    <w:p w14:paraId="0EAA23E7" w14:textId="77777777" w:rsidR="004858A4" w:rsidRPr="004858A4" w:rsidRDefault="004858A4" w:rsidP="004858A4">
      <w:pPr>
        <w:spacing w:after="160" w:line="259" w:lineRule="auto"/>
        <w:jc w:val="both"/>
        <w:rPr>
          <w:rFonts w:eastAsia="Calibri" w:cs="Times New Roman"/>
          <w:noProof w:val="0"/>
          <w:sz w:val="22"/>
          <w:szCs w:val="22"/>
          <w:lang w:val="en" w:bidi="fa-IR"/>
        </w:rPr>
      </w:pPr>
      <w:r w:rsidRPr="004858A4">
        <w:rPr>
          <w:rFonts w:eastAsia="Calibri" w:cs="Times New Roman"/>
          <w:b/>
          <w:bCs/>
          <w:noProof w:val="0"/>
          <w:sz w:val="22"/>
          <w:szCs w:val="22"/>
          <w:lang w:val="en" w:bidi="fa-IR"/>
        </w:rPr>
        <w:t>Conclusion:</w:t>
      </w:r>
      <w:r w:rsidRPr="004858A4">
        <w:rPr>
          <w:rFonts w:eastAsia="Calibri" w:cs="Times New Roman"/>
          <w:noProof w:val="0"/>
          <w:sz w:val="22"/>
          <w:szCs w:val="22"/>
          <w:lang w:val="en" w:bidi="fa-IR"/>
        </w:rPr>
        <w:t>Evidence synthesized across two decades reinforces that spiritual nursing care profoundly supports parental adaptation and acceptance during a child’s end</w:t>
      </w:r>
      <w:r w:rsidRPr="004858A4">
        <w:rPr>
          <w:rFonts w:eastAsia="Calibri" w:cs="Times New Roman"/>
          <w:noProof w:val="0"/>
          <w:sz w:val="22"/>
          <w:szCs w:val="22"/>
          <w:lang w:val="en" w:bidi="fa-IR"/>
        </w:rPr>
        <w:noBreakHyphen/>
        <w:t>stage leukemia. Incorporating individualized spiritual interventions into routine pediatric palliative care plans can reduce emotional distress, improve coping and ethical decision</w:t>
      </w:r>
      <w:r w:rsidRPr="004858A4">
        <w:rPr>
          <w:rFonts w:eastAsia="Calibri" w:cs="Times New Roman"/>
          <w:noProof w:val="0"/>
          <w:sz w:val="22"/>
          <w:szCs w:val="22"/>
          <w:lang w:val="en" w:bidi="fa-IR"/>
        </w:rPr>
        <w:noBreakHyphen/>
        <w:t>making, and reaffirm the humanistic essence of nursing practice.</w:t>
      </w:r>
    </w:p>
    <w:p w14:paraId="303016B5" w14:textId="77777777" w:rsidR="004858A4" w:rsidRPr="004858A4" w:rsidRDefault="004858A4" w:rsidP="004858A4">
      <w:pPr>
        <w:spacing w:after="160" w:line="259" w:lineRule="auto"/>
        <w:jc w:val="both"/>
        <w:rPr>
          <w:rFonts w:eastAsia="Calibri" w:cs="Times New Roman"/>
          <w:noProof w:val="0"/>
          <w:sz w:val="22"/>
          <w:szCs w:val="22"/>
          <w:lang w:val="en" w:bidi="fa-IR"/>
        </w:rPr>
      </w:pPr>
      <w:r w:rsidRPr="004858A4">
        <w:rPr>
          <w:rFonts w:eastAsia="Calibri" w:cs="Times New Roman"/>
          <w:b/>
          <w:bCs/>
          <w:noProof w:val="0"/>
          <w:sz w:val="22"/>
          <w:szCs w:val="22"/>
          <w:lang w:val="en" w:bidi="fa-IR"/>
        </w:rPr>
        <w:t>Keywords:</w:t>
      </w:r>
      <w:r w:rsidRPr="004858A4">
        <w:rPr>
          <w:rFonts w:eastAsia="Calibri" w:cs="Times New Roman"/>
          <w:noProof w:val="0"/>
          <w:sz w:val="22"/>
          <w:szCs w:val="22"/>
          <w:lang w:val="en" w:bidi="fa-IR"/>
        </w:rPr>
        <w:t xml:space="preserve"> Spiritual care; Pediatric leukemia; Parental acceptance; Palliative nursing; End</w:t>
      </w:r>
      <w:r w:rsidRPr="004858A4">
        <w:rPr>
          <w:rFonts w:eastAsia="Calibri" w:cs="Times New Roman"/>
          <w:noProof w:val="0"/>
          <w:sz w:val="22"/>
          <w:szCs w:val="22"/>
          <w:lang w:val="en" w:bidi="fa-IR"/>
        </w:rPr>
        <w:noBreakHyphen/>
        <w:t>stage; Systematic review.</w:t>
      </w:r>
    </w:p>
    <w:p w14:paraId="2AA3ECC0" w14:textId="77777777" w:rsidR="00992AEA" w:rsidRPr="004858A4" w:rsidRDefault="00992AEA" w:rsidP="004858A4"/>
    <w:sectPr w:rsidR="00992AEA" w:rsidRPr="004858A4" w:rsidSect="004858A4">
      <w:headerReference w:type="default" r:id="rId8"/>
      <w:footerReference w:type="even" r:id="rId9"/>
      <w:footerReference w:type="default" r:id="rId10"/>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8479B" w14:textId="77777777" w:rsidR="00AF0412" w:rsidRDefault="00AF0412">
      <w:r>
        <w:separator/>
      </w:r>
    </w:p>
  </w:endnote>
  <w:endnote w:type="continuationSeparator" w:id="0">
    <w:p w14:paraId="4C961EF5" w14:textId="77777777" w:rsidR="00AF0412" w:rsidRDefault="00AF0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66CCF93E"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4858A4">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1D46F" w14:textId="77777777" w:rsidR="00AF0412" w:rsidRDefault="00AF0412" w:rsidP="0010114F">
      <w:pPr>
        <w:bidi/>
      </w:pPr>
      <w:r>
        <w:separator/>
      </w:r>
    </w:p>
  </w:footnote>
  <w:footnote w:type="continuationSeparator" w:id="0">
    <w:p w14:paraId="2138E163" w14:textId="77777777" w:rsidR="00AF0412" w:rsidRDefault="00AF04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lang w:bidi="fa-IR"/>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4"/>
  </w:num>
  <w:num w:numId="4">
    <w:abstractNumId w:val="0"/>
  </w:num>
  <w:num w:numId="5">
    <w:abstractNumId w:val="5"/>
  </w:num>
  <w:num w:numId="6">
    <w:abstractNumId w:val="12"/>
  </w:num>
  <w:num w:numId="7">
    <w:abstractNumId w:val="1"/>
  </w:num>
  <w:num w:numId="8">
    <w:abstractNumId w:val="8"/>
  </w:num>
  <w:num w:numId="9">
    <w:abstractNumId w:val="11"/>
  </w:num>
  <w:num w:numId="10">
    <w:abstractNumId w:val="2"/>
  </w:num>
  <w:num w:numId="11">
    <w:abstractNumId w:val="7"/>
  </w:num>
  <w:num w:numId="12">
    <w:abstractNumId w:val="3"/>
  </w:num>
  <w:num w:numId="13">
    <w:abstractNumId w:val="10"/>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58A4"/>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412"/>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95B3D-7BFE-4D3E-8D69-C7D2C5E6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GIGA</cp:lastModifiedBy>
  <cp:revision>2</cp:revision>
  <cp:lastPrinted>2007-05-16T03:26:00Z</cp:lastPrinted>
  <dcterms:created xsi:type="dcterms:W3CDTF">2025-11-14T13:34:00Z</dcterms:created>
  <dcterms:modified xsi:type="dcterms:W3CDTF">2025-11-14T13:34:00Z</dcterms:modified>
</cp:coreProperties>
</file>