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D2FCC" w14:textId="77777777" w:rsidR="004858A4" w:rsidRDefault="004858A4" w:rsidP="004858A4">
      <w:pPr>
        <w:bidi/>
        <w:spacing w:after="160" w:line="259" w:lineRule="auto"/>
        <w:jc w:val="center"/>
        <w:rPr>
          <w:rFonts w:eastAsia="Calibri" w:cs="Times New Roman" w:hint="cs"/>
          <w:b/>
          <w:bCs/>
          <w:noProof w:val="0"/>
          <w:sz w:val="22"/>
          <w:szCs w:val="22"/>
          <w:lang w:val="en" w:bidi="fa-IR"/>
        </w:rPr>
      </w:pPr>
    </w:p>
    <w:p w14:paraId="01C78292" w14:textId="77777777" w:rsidR="004858A4" w:rsidRDefault="004858A4" w:rsidP="004858A4">
      <w:pPr>
        <w:bidi/>
        <w:spacing w:after="160" w:line="259" w:lineRule="auto"/>
        <w:jc w:val="center"/>
        <w:rPr>
          <w:rFonts w:eastAsia="Calibri" w:cs="Times New Roman"/>
          <w:b/>
          <w:bCs/>
          <w:noProof w:val="0"/>
          <w:sz w:val="22"/>
          <w:szCs w:val="22"/>
          <w:lang w:val="en" w:bidi="fa-IR"/>
        </w:rPr>
      </w:pPr>
    </w:p>
    <w:p w14:paraId="26A06543" w14:textId="77777777" w:rsidR="002E32F0" w:rsidRPr="002E32F0" w:rsidRDefault="002E32F0" w:rsidP="002E32F0">
      <w:pPr>
        <w:bidi/>
        <w:spacing w:after="160" w:line="259" w:lineRule="auto"/>
        <w:jc w:val="center"/>
        <w:rPr>
          <w:rFonts w:eastAsia="Calibri" w:cs="Times New Roman"/>
          <w:b/>
          <w:bCs/>
          <w:noProof w:val="0"/>
          <w:sz w:val="28"/>
          <w:szCs w:val="28"/>
          <w:lang w:val="en" w:bidi="fa-IR"/>
        </w:rPr>
      </w:pPr>
      <w:r w:rsidRPr="002E32F0">
        <w:rPr>
          <w:rFonts w:eastAsia="Calibri" w:cs="Times New Roman"/>
          <w:b/>
          <w:bCs/>
          <w:noProof w:val="0"/>
          <w:sz w:val="28"/>
          <w:szCs w:val="28"/>
          <w:lang w:val="en" w:bidi="fa-IR"/>
        </w:rPr>
        <w:t>A Systematic Review of Artificial Intelligence and Virtual Reality Impacts on Nurses’ Decision</w:t>
      </w:r>
      <w:r w:rsidRPr="002E32F0">
        <w:rPr>
          <w:rFonts w:eastAsia="Calibri" w:cs="Times New Roman"/>
          <w:b/>
          <w:bCs/>
          <w:noProof w:val="0"/>
          <w:sz w:val="28"/>
          <w:szCs w:val="28"/>
          <w:lang w:val="en" w:bidi="fa-IR"/>
        </w:rPr>
        <w:noBreakHyphen/>
        <w:t>Making Power in Critical Situations</w:t>
      </w:r>
    </w:p>
    <w:p w14:paraId="6B85966B" w14:textId="7412B72C" w:rsidR="004858A4" w:rsidRPr="004858A4" w:rsidRDefault="004858A4" w:rsidP="00E623B3">
      <w:pPr>
        <w:bidi/>
        <w:spacing w:after="160" w:line="259" w:lineRule="auto"/>
        <w:jc w:val="center"/>
        <w:rPr>
          <w:rFonts w:eastAsia="Calibri" w:cs="Times New Roman"/>
          <w:b/>
          <w:bCs/>
          <w:noProof w:val="0"/>
          <w:lang w:bidi="fa-IR"/>
        </w:rPr>
      </w:pPr>
      <w:proofErr w:type="spellStart"/>
      <w:r w:rsidRPr="004858A4">
        <w:rPr>
          <w:rFonts w:eastAsia="Calibri" w:cs="Times New Roman"/>
          <w:b/>
          <w:bCs/>
          <w:noProof w:val="0"/>
          <w:lang w:bidi="fa-IR"/>
        </w:rPr>
        <w:t>Sajad</w:t>
      </w:r>
      <w:proofErr w:type="spellEnd"/>
      <w:r w:rsidRPr="004858A4">
        <w:rPr>
          <w:rFonts w:eastAsia="Calibri" w:cs="Times New Roman"/>
          <w:b/>
          <w:bCs/>
          <w:noProof w:val="0"/>
          <w:lang w:bidi="fa-IR"/>
        </w:rPr>
        <w:t xml:space="preserve"> Nazari</w:t>
      </w:r>
      <w:proofErr w:type="gramStart"/>
      <w:r w:rsidRPr="004858A4">
        <w:rPr>
          <w:rFonts w:eastAsia="Calibri" w:cs="Times New Roman"/>
          <w:b/>
          <w:bCs/>
          <w:noProof w:val="0"/>
          <w:vertAlign w:val="superscript"/>
          <w:lang w:bidi="fa-IR"/>
        </w:rPr>
        <w:t>1</w:t>
      </w:r>
      <w:r w:rsidRPr="004858A4">
        <w:rPr>
          <w:rFonts w:eastAsia="Calibri" w:cs="Times New Roman"/>
          <w:b/>
          <w:bCs/>
          <w:noProof w:val="0"/>
          <w:lang w:bidi="fa-IR"/>
        </w:rPr>
        <w:t xml:space="preserve"> </w:t>
      </w:r>
      <w:r w:rsidR="002E32F0">
        <w:rPr>
          <w:rFonts w:eastAsia="Calibri" w:cs="Times New Roman"/>
          <w:b/>
          <w:bCs/>
          <w:noProof w:val="0"/>
          <w:lang w:bidi="fa-IR"/>
        </w:rPr>
        <w:t xml:space="preserve"> </w:t>
      </w:r>
      <w:r w:rsidR="00E623B3" w:rsidRPr="00E623B3">
        <w:rPr>
          <w:rFonts w:eastAsia="Calibri" w:cs="Times New Roman"/>
          <w:b/>
          <w:bCs/>
          <w:noProof w:val="0"/>
          <w:lang w:bidi="fa-IR"/>
        </w:rPr>
        <w:t>Mohsen</w:t>
      </w:r>
      <w:proofErr w:type="gramEnd"/>
      <w:r w:rsidR="00E623B3" w:rsidRPr="00E623B3">
        <w:rPr>
          <w:rFonts w:eastAsia="Calibri" w:cs="Times New Roman"/>
          <w:b/>
          <w:bCs/>
          <w:noProof w:val="0"/>
          <w:lang w:bidi="fa-IR"/>
        </w:rPr>
        <w:t xml:space="preserve"> </w:t>
      </w:r>
      <w:proofErr w:type="spellStart"/>
      <w:r w:rsidR="00E623B3" w:rsidRPr="00E623B3">
        <w:rPr>
          <w:rFonts w:eastAsia="Calibri" w:cs="Times New Roman"/>
          <w:b/>
          <w:bCs/>
          <w:noProof w:val="0"/>
          <w:lang w:bidi="fa-IR"/>
        </w:rPr>
        <w:t>Aghabeygi</w:t>
      </w:r>
      <w:proofErr w:type="spellEnd"/>
      <w:r w:rsidR="00E623B3" w:rsidRPr="00E623B3">
        <w:rPr>
          <w:rFonts w:eastAsia="Calibri" w:cs="Times New Roman"/>
          <w:b/>
          <w:bCs/>
          <w:noProof w:val="0"/>
          <w:lang w:bidi="fa-IR"/>
        </w:rPr>
        <w:t xml:space="preserve"> </w:t>
      </w:r>
      <w:proofErr w:type="spellStart"/>
      <w:r w:rsidR="00E623B3" w:rsidRPr="00E623B3">
        <w:rPr>
          <w:rFonts w:eastAsia="Calibri" w:cs="Times New Roman"/>
          <w:b/>
          <w:bCs/>
          <w:noProof w:val="0"/>
          <w:lang w:bidi="fa-IR"/>
        </w:rPr>
        <w:t>Arani</w:t>
      </w:r>
      <w:proofErr w:type="spellEnd"/>
      <w:r w:rsidR="00E623B3" w:rsidRPr="00E623B3">
        <w:rPr>
          <w:rFonts w:eastAsia="Calibri" w:cs="Times New Roman"/>
          <w:b/>
          <w:bCs/>
          <w:noProof w:val="0"/>
          <w:vertAlign w:val="superscript"/>
          <w:lang w:bidi="fa-IR"/>
        </w:rPr>
        <w:t xml:space="preserve"> </w:t>
      </w:r>
      <w:r w:rsidRPr="004858A4">
        <w:rPr>
          <w:rFonts w:eastAsia="Calibri" w:cs="Times New Roman"/>
          <w:b/>
          <w:bCs/>
          <w:noProof w:val="0"/>
          <w:vertAlign w:val="superscript"/>
          <w:lang w:bidi="fa-IR"/>
        </w:rPr>
        <w:t>2</w:t>
      </w:r>
      <w:r w:rsidRPr="004858A4">
        <w:rPr>
          <w:rFonts w:eastAsia="Calibri" w:cs="Times New Roman"/>
          <w:b/>
          <w:bCs/>
          <w:noProof w:val="0"/>
          <w:lang w:bidi="fa-IR"/>
        </w:rPr>
        <w:t xml:space="preserve">  </w:t>
      </w:r>
      <w:proofErr w:type="spellStart"/>
      <w:r w:rsidRPr="004858A4">
        <w:rPr>
          <w:rFonts w:eastAsia="Calibri" w:cs="Times New Roman"/>
          <w:b/>
          <w:bCs/>
          <w:noProof w:val="0"/>
          <w:lang w:bidi="fa-IR"/>
        </w:rPr>
        <w:t>Mehrshad</w:t>
      </w:r>
      <w:proofErr w:type="spellEnd"/>
      <w:r w:rsidRPr="004858A4">
        <w:rPr>
          <w:rFonts w:eastAsia="Calibri" w:cs="Times New Roman"/>
          <w:b/>
          <w:bCs/>
          <w:noProof w:val="0"/>
          <w:lang w:bidi="fa-IR"/>
        </w:rPr>
        <w:t xml:space="preserve"> Mohebifar</w:t>
      </w:r>
      <w:r w:rsidRPr="004858A4">
        <w:rPr>
          <w:rFonts w:eastAsia="Calibri" w:cs="Times New Roman"/>
          <w:b/>
          <w:bCs/>
          <w:noProof w:val="0"/>
          <w:vertAlign w:val="superscript"/>
          <w:lang w:bidi="fa-IR"/>
        </w:rPr>
        <w:t>1*</w:t>
      </w:r>
    </w:p>
    <w:p w14:paraId="7EE88100" w14:textId="77777777" w:rsidR="004858A4" w:rsidRPr="004858A4" w:rsidRDefault="004858A4" w:rsidP="004858A4">
      <w:pPr>
        <w:bidi/>
        <w:spacing w:after="160" w:line="259" w:lineRule="auto"/>
        <w:jc w:val="center"/>
        <w:rPr>
          <w:rFonts w:eastAsia="Calibri" w:cs="Times New Roman"/>
          <w:noProof w:val="0"/>
          <w:sz w:val="16"/>
          <w:szCs w:val="16"/>
          <w:lang w:bidi="fa-IR"/>
        </w:rPr>
      </w:pPr>
      <w:r w:rsidRPr="004858A4">
        <w:rPr>
          <w:rFonts w:eastAsia="Calibri" w:cs="Times New Roman"/>
          <w:b/>
          <w:bCs/>
          <w:noProof w:val="0"/>
          <w:sz w:val="16"/>
          <w:szCs w:val="16"/>
          <w:vertAlign w:val="superscript"/>
          <w:lang w:bidi="fa-IR"/>
        </w:rPr>
        <w:t>1</w:t>
      </w:r>
      <w:r w:rsidRPr="004858A4">
        <w:rPr>
          <w:rFonts w:eastAsia="Calibri" w:cs="Times New Roman"/>
          <w:noProof w:val="0"/>
          <w:sz w:val="16"/>
          <w:szCs w:val="16"/>
          <w:lang w:bidi="fa-IR"/>
        </w:rPr>
        <w:t>MSc Student in Pediatric Nursing, Student Research Committee, Hamadan University of Medical Sciences, Hamadan, Iran.</w:t>
      </w:r>
    </w:p>
    <w:p w14:paraId="796A8CAD" w14:textId="7C0BE19C" w:rsidR="00E623B3" w:rsidRPr="00E623B3" w:rsidRDefault="00E623B3" w:rsidP="00E623B3">
      <w:pPr>
        <w:spacing w:before="100" w:beforeAutospacing="1" w:after="100" w:afterAutospacing="1"/>
        <w:jc w:val="center"/>
        <w:rPr>
          <w:rFonts w:cs="Times New Roman"/>
          <w:noProof w:val="0"/>
          <w:sz w:val="16"/>
          <w:szCs w:val="16"/>
          <w:lang w:val="en" w:bidi="fa-IR"/>
        </w:rPr>
      </w:pPr>
      <w:r w:rsidRPr="00E623B3">
        <w:rPr>
          <w:rFonts w:cs="Times New Roman"/>
          <w:i/>
          <w:iCs/>
          <w:noProof w:val="0"/>
          <w:sz w:val="16"/>
          <w:szCs w:val="16"/>
          <w:vertAlign w:val="superscript"/>
          <w:lang w:bidi="fa-IR"/>
        </w:rPr>
        <w:t>2</w:t>
      </w:r>
      <w:r w:rsidRPr="00E623B3">
        <w:rPr>
          <w:rFonts w:cs="Times New Roman"/>
          <w:noProof w:val="0"/>
          <w:sz w:val="16"/>
          <w:szCs w:val="16"/>
          <w:lang w:val="en" w:bidi="fa-IR"/>
        </w:rPr>
        <w:t>MSc in Rehabilitation Nursing</w:t>
      </w:r>
      <w:r w:rsidRPr="00E623B3">
        <w:rPr>
          <w:rFonts w:cs="Times New Roman"/>
          <w:i/>
          <w:iCs/>
          <w:noProof w:val="0"/>
          <w:sz w:val="16"/>
          <w:szCs w:val="16"/>
          <w:lang w:val="en" w:bidi="fa-IR"/>
        </w:rPr>
        <w:t>,</w:t>
      </w:r>
      <w:r w:rsidRPr="00E623B3">
        <w:rPr>
          <w:rFonts w:cs="Times New Roman"/>
          <w:noProof w:val="0"/>
          <w:sz w:val="16"/>
          <w:szCs w:val="16"/>
          <w:lang w:bidi="fa-IR"/>
        </w:rPr>
        <w:t xml:space="preserve"> </w:t>
      </w:r>
      <w:proofErr w:type="spellStart"/>
      <w:r w:rsidRPr="00E623B3">
        <w:rPr>
          <w:rFonts w:cs="Times New Roman"/>
          <w:noProof w:val="0"/>
          <w:sz w:val="16"/>
          <w:szCs w:val="16"/>
          <w:lang w:bidi="fa-IR"/>
        </w:rPr>
        <w:t>Shohada</w:t>
      </w:r>
      <w:proofErr w:type="spellEnd"/>
      <w:r w:rsidRPr="00E623B3">
        <w:rPr>
          <w:rFonts w:cs="Times New Roman"/>
          <w:noProof w:val="0"/>
          <w:sz w:val="16"/>
          <w:szCs w:val="16"/>
          <w:lang w:bidi="fa-IR"/>
        </w:rPr>
        <w:t xml:space="preserve"> Haft</w:t>
      </w:r>
      <w:r w:rsidRPr="00E623B3">
        <w:rPr>
          <w:rFonts w:cs="Times New Roman"/>
          <w:noProof w:val="0"/>
          <w:sz w:val="16"/>
          <w:szCs w:val="16"/>
          <w:lang w:bidi="fa-IR"/>
        </w:rPr>
        <w:noBreakHyphen/>
      </w:r>
      <w:proofErr w:type="spellStart"/>
      <w:r w:rsidRPr="00E623B3">
        <w:rPr>
          <w:rFonts w:cs="Times New Roman"/>
          <w:noProof w:val="0"/>
          <w:sz w:val="16"/>
          <w:szCs w:val="16"/>
          <w:lang w:bidi="fa-IR"/>
        </w:rPr>
        <w:t>Tir</w:t>
      </w:r>
      <w:proofErr w:type="spellEnd"/>
      <w:r w:rsidRPr="00E623B3">
        <w:rPr>
          <w:rFonts w:cs="Times New Roman"/>
          <w:noProof w:val="0"/>
          <w:sz w:val="16"/>
          <w:szCs w:val="16"/>
          <w:lang w:bidi="fa-IR"/>
        </w:rPr>
        <w:t xml:space="preserve"> Hospital, Iran University of Medical Sciences, Tehran, Iran</w:t>
      </w:r>
      <w:r w:rsidRPr="00E623B3">
        <w:rPr>
          <w:rFonts w:cs="Times New Roman"/>
          <w:noProof w:val="0"/>
          <w:sz w:val="16"/>
          <w:szCs w:val="16"/>
          <w:lang w:val="en" w:bidi="fa-IR"/>
        </w:rPr>
        <w:t>.</w:t>
      </w:r>
    </w:p>
    <w:p w14:paraId="54586DBC" w14:textId="20F88748" w:rsidR="00F16C89" w:rsidRDefault="00F16C89" w:rsidP="00E623B3">
      <w:pPr>
        <w:spacing w:before="100" w:beforeAutospacing="1" w:after="100" w:afterAutospacing="1"/>
        <w:jc w:val="center"/>
        <w:rPr>
          <w:rFonts w:eastAsia="Calibri" w:cs="Times New Roman"/>
          <w:b/>
          <w:bCs/>
          <w:noProof w:val="0"/>
          <w:sz w:val="22"/>
          <w:szCs w:val="22"/>
          <w:rtl/>
          <w:lang w:val="en" w:bidi="fa-IR"/>
        </w:rPr>
      </w:pPr>
    </w:p>
    <w:p w14:paraId="04520A34" w14:textId="3B1CA0FA" w:rsidR="004858A4" w:rsidRPr="004858A4" w:rsidRDefault="004858A4" w:rsidP="00F16C89">
      <w:pPr>
        <w:spacing w:before="100" w:beforeAutospacing="1" w:after="100" w:afterAutospacing="1"/>
        <w:rPr>
          <w:rFonts w:eastAsia="Calibri" w:cs="Times New Roman"/>
          <w:b/>
          <w:bCs/>
          <w:noProof w:val="0"/>
          <w:sz w:val="22"/>
          <w:szCs w:val="22"/>
          <w:lang w:val="en" w:bidi="fa-IR"/>
        </w:rPr>
      </w:pPr>
      <w:r w:rsidRPr="004858A4">
        <w:rPr>
          <w:rFonts w:eastAsia="Calibri" w:cs="Times New Roman"/>
          <w:b/>
          <w:bCs/>
          <w:noProof w:val="0"/>
          <w:sz w:val="22"/>
          <w:szCs w:val="22"/>
          <w:lang w:val="en" w:bidi="fa-IR"/>
        </w:rPr>
        <w:t>Abstract</w:t>
      </w:r>
    </w:p>
    <w:p w14:paraId="7BE43316" w14:textId="2E4A9215" w:rsidR="002E32F0" w:rsidRPr="002E32F0" w:rsidRDefault="002E32F0" w:rsidP="002E32F0">
      <w:pPr>
        <w:spacing w:after="160" w:line="259" w:lineRule="auto"/>
        <w:jc w:val="both"/>
        <w:rPr>
          <w:rFonts w:eastAsia="Calibri" w:cs="Times New Roman"/>
          <w:b/>
          <w:bCs/>
          <w:noProof w:val="0"/>
          <w:sz w:val="22"/>
          <w:szCs w:val="22"/>
          <w:lang w:val="en" w:bidi="fa-IR"/>
        </w:rPr>
      </w:pPr>
      <w:r w:rsidRPr="002E32F0">
        <w:rPr>
          <w:rFonts w:eastAsia="Calibri" w:cs="Times New Roman"/>
          <w:b/>
          <w:bCs/>
          <w:noProof w:val="0"/>
          <w:sz w:val="22"/>
          <w:szCs w:val="22"/>
          <w:lang w:val="en" w:bidi="fa-IR"/>
        </w:rPr>
        <w:t>Background:</w:t>
      </w:r>
      <w:r>
        <w:rPr>
          <w:rFonts w:eastAsia="Calibri" w:cs="Times New Roman"/>
          <w:b/>
          <w:bCs/>
          <w:noProof w:val="0"/>
          <w:sz w:val="22"/>
          <w:szCs w:val="22"/>
          <w:lang w:val="en" w:bidi="fa-IR"/>
        </w:rPr>
        <w:t xml:space="preserve"> </w:t>
      </w:r>
      <w:r w:rsidRPr="002E32F0">
        <w:rPr>
          <w:rFonts w:eastAsia="Calibri" w:cs="Times New Roman"/>
          <w:noProof w:val="0"/>
          <w:sz w:val="22"/>
          <w:szCs w:val="22"/>
          <w:lang w:val="en" w:bidi="fa-IR"/>
        </w:rPr>
        <w:t>Clinical decision</w:t>
      </w:r>
      <w:r w:rsidRPr="002E32F0">
        <w:rPr>
          <w:rFonts w:eastAsia="Calibri" w:cs="Times New Roman"/>
          <w:noProof w:val="0"/>
          <w:sz w:val="22"/>
          <w:szCs w:val="22"/>
          <w:lang w:val="en" w:bidi="fa-IR"/>
        </w:rPr>
        <w:noBreakHyphen/>
        <w:t>making under critical conditions—such as emergencies, intensive care, and disaster response—is one of the most cognitively demanding aspects of nursing practice. In recent years, artificial intelligence (AI) and virtual reality (VR) technologies have emerged as transformative tools capable of enhancing real</w:t>
      </w:r>
      <w:r w:rsidRPr="002E32F0">
        <w:rPr>
          <w:rFonts w:eastAsia="Calibri" w:cs="Times New Roman"/>
          <w:noProof w:val="0"/>
          <w:sz w:val="22"/>
          <w:szCs w:val="22"/>
          <w:lang w:val="en" w:bidi="fa-IR"/>
        </w:rPr>
        <w:noBreakHyphen/>
        <w:t>time judgment, reducing cognitive overload, and improving clinical accuracy. Understanding the evidence behind their effectiveness in strengthening nurses’ decision</w:t>
      </w:r>
      <w:r w:rsidRPr="002E32F0">
        <w:rPr>
          <w:rFonts w:eastAsia="Calibri" w:cs="Times New Roman"/>
          <w:noProof w:val="0"/>
          <w:sz w:val="22"/>
          <w:szCs w:val="22"/>
          <w:lang w:val="en" w:bidi="fa-IR"/>
        </w:rPr>
        <w:noBreakHyphen/>
        <w:t>making power is essential for future integration into healthcare systems.</w:t>
      </w:r>
    </w:p>
    <w:p w14:paraId="262F6CF4" w14:textId="29A1AC0C" w:rsidR="002E32F0" w:rsidRPr="002E32F0" w:rsidRDefault="002E32F0" w:rsidP="002E32F0">
      <w:pPr>
        <w:spacing w:after="160" w:line="259" w:lineRule="auto"/>
        <w:jc w:val="both"/>
        <w:rPr>
          <w:rFonts w:eastAsia="Calibri" w:cs="Times New Roman"/>
          <w:noProof w:val="0"/>
          <w:sz w:val="22"/>
          <w:szCs w:val="22"/>
          <w:lang w:val="en" w:bidi="fa-IR"/>
        </w:rPr>
      </w:pPr>
      <w:r w:rsidRPr="002E32F0">
        <w:rPr>
          <w:rFonts w:eastAsia="Calibri" w:cs="Times New Roman"/>
          <w:b/>
          <w:bCs/>
          <w:noProof w:val="0"/>
          <w:sz w:val="22"/>
          <w:szCs w:val="22"/>
          <w:lang w:val="en" w:bidi="fa-IR"/>
        </w:rPr>
        <w:t>Objective:</w:t>
      </w:r>
      <w:r>
        <w:rPr>
          <w:rFonts w:eastAsia="Calibri" w:cs="Times New Roman"/>
          <w:noProof w:val="0"/>
          <w:sz w:val="22"/>
          <w:szCs w:val="22"/>
          <w:lang w:val="en" w:bidi="fa-IR"/>
        </w:rPr>
        <w:t xml:space="preserve"> </w:t>
      </w:r>
      <w:r w:rsidRPr="002E32F0">
        <w:rPr>
          <w:rFonts w:eastAsia="Calibri" w:cs="Times New Roman"/>
          <w:noProof w:val="0"/>
          <w:sz w:val="22"/>
          <w:szCs w:val="22"/>
          <w:lang w:val="en" w:bidi="fa-IR"/>
        </w:rPr>
        <w:t>This systematic review aimed to evaluate and synthesize empirical evidence concerning the role of AI</w:t>
      </w:r>
      <w:r w:rsidRPr="002E32F0">
        <w:rPr>
          <w:rFonts w:eastAsia="Calibri" w:cs="Times New Roman"/>
          <w:noProof w:val="0"/>
          <w:sz w:val="22"/>
          <w:szCs w:val="22"/>
          <w:lang w:val="en" w:bidi="fa-IR"/>
        </w:rPr>
        <w:noBreakHyphen/>
        <w:t>driven systems and VR</w:t>
      </w:r>
      <w:r w:rsidRPr="002E32F0">
        <w:rPr>
          <w:rFonts w:eastAsia="Calibri" w:cs="Times New Roman"/>
          <w:noProof w:val="0"/>
          <w:sz w:val="22"/>
          <w:szCs w:val="22"/>
          <w:lang w:val="en" w:bidi="fa-IR"/>
        </w:rPr>
        <w:noBreakHyphen/>
        <w:t>based training environments in improving decision</w:t>
      </w:r>
      <w:r w:rsidRPr="002E32F0">
        <w:rPr>
          <w:rFonts w:eastAsia="Calibri" w:cs="Times New Roman"/>
          <w:noProof w:val="0"/>
          <w:sz w:val="22"/>
          <w:szCs w:val="22"/>
          <w:lang w:val="en" w:bidi="fa-IR"/>
        </w:rPr>
        <w:noBreakHyphen/>
        <w:t>making competence and confidence among nurses operating in high</w:t>
      </w:r>
      <w:r w:rsidRPr="002E32F0">
        <w:rPr>
          <w:rFonts w:eastAsia="Calibri" w:cs="Times New Roman"/>
          <w:noProof w:val="0"/>
          <w:sz w:val="22"/>
          <w:szCs w:val="22"/>
          <w:lang w:val="en" w:bidi="fa-IR"/>
        </w:rPr>
        <w:noBreakHyphen/>
        <w:t>pressure clinical situations.</w:t>
      </w:r>
    </w:p>
    <w:p w14:paraId="6017B8C6" w14:textId="1D78B7D2" w:rsidR="002E32F0" w:rsidRPr="002E32F0" w:rsidRDefault="002E32F0" w:rsidP="002E32F0">
      <w:pPr>
        <w:spacing w:after="160" w:line="259" w:lineRule="auto"/>
        <w:jc w:val="both"/>
        <w:rPr>
          <w:rFonts w:eastAsia="Calibri" w:cs="Times New Roman"/>
          <w:b/>
          <w:bCs/>
          <w:noProof w:val="0"/>
          <w:sz w:val="22"/>
          <w:szCs w:val="22"/>
          <w:lang w:val="en" w:bidi="fa-IR"/>
        </w:rPr>
      </w:pPr>
      <w:r w:rsidRPr="002E32F0">
        <w:rPr>
          <w:rFonts w:eastAsia="Calibri" w:cs="Times New Roman"/>
          <w:b/>
          <w:bCs/>
          <w:noProof w:val="0"/>
          <w:sz w:val="22"/>
          <w:szCs w:val="22"/>
          <w:lang w:val="en" w:bidi="fa-IR"/>
        </w:rPr>
        <w:t>Methods:</w:t>
      </w:r>
      <w:r>
        <w:rPr>
          <w:rFonts w:eastAsia="Calibri" w:cs="Times New Roman"/>
          <w:b/>
          <w:bCs/>
          <w:noProof w:val="0"/>
          <w:sz w:val="22"/>
          <w:szCs w:val="22"/>
          <w:lang w:val="en" w:bidi="fa-IR"/>
        </w:rPr>
        <w:t xml:space="preserve"> </w:t>
      </w:r>
      <w:r w:rsidRPr="002E32F0">
        <w:rPr>
          <w:rFonts w:eastAsia="Calibri" w:cs="Times New Roman"/>
          <w:noProof w:val="0"/>
          <w:sz w:val="22"/>
          <w:szCs w:val="22"/>
          <w:lang w:val="en" w:bidi="fa-IR"/>
        </w:rPr>
        <w:t xml:space="preserve">Following PRISMA guidelines, comprehensive searches were conducted across </w:t>
      </w:r>
      <w:r w:rsidRPr="002E32F0">
        <w:rPr>
          <w:rFonts w:eastAsia="Calibri" w:cs="Times New Roman"/>
          <w:i/>
          <w:iCs/>
          <w:noProof w:val="0"/>
          <w:sz w:val="22"/>
          <w:szCs w:val="22"/>
          <w:lang w:val="en" w:bidi="fa-IR"/>
        </w:rPr>
        <w:t>PubMed, Scopus, CINAHL, Web of Science,</w:t>
      </w:r>
      <w:r w:rsidRPr="002E32F0">
        <w:rPr>
          <w:rFonts w:eastAsia="Calibri" w:cs="Times New Roman"/>
          <w:noProof w:val="0"/>
          <w:sz w:val="22"/>
          <w:szCs w:val="22"/>
          <w:lang w:val="en" w:bidi="fa-IR"/>
        </w:rPr>
        <w:t xml:space="preserve"> and </w:t>
      </w:r>
      <w:r w:rsidRPr="002E32F0">
        <w:rPr>
          <w:rFonts w:eastAsia="Calibri" w:cs="Times New Roman"/>
          <w:i/>
          <w:iCs/>
          <w:noProof w:val="0"/>
          <w:sz w:val="22"/>
          <w:szCs w:val="22"/>
          <w:lang w:val="en" w:bidi="fa-IR"/>
        </w:rPr>
        <w:t xml:space="preserve">IEEE </w:t>
      </w:r>
      <w:proofErr w:type="spellStart"/>
      <w:r w:rsidRPr="002E32F0">
        <w:rPr>
          <w:rFonts w:eastAsia="Calibri" w:cs="Times New Roman"/>
          <w:i/>
          <w:iCs/>
          <w:noProof w:val="0"/>
          <w:sz w:val="22"/>
          <w:szCs w:val="22"/>
          <w:lang w:val="en" w:bidi="fa-IR"/>
        </w:rPr>
        <w:t>Xplore</w:t>
      </w:r>
      <w:proofErr w:type="spellEnd"/>
      <w:r w:rsidRPr="002E32F0">
        <w:rPr>
          <w:rFonts w:eastAsia="Calibri" w:cs="Times New Roman"/>
          <w:noProof w:val="0"/>
          <w:sz w:val="22"/>
          <w:szCs w:val="22"/>
          <w:lang w:val="en" w:bidi="fa-IR"/>
        </w:rPr>
        <w:t xml:space="preserve"> databases for studies published between 2015 and 2025. Keywords included </w:t>
      </w:r>
      <w:r w:rsidRPr="002E32F0">
        <w:rPr>
          <w:rFonts w:eastAsia="Calibri" w:cs="Times New Roman"/>
          <w:i/>
          <w:iCs/>
          <w:noProof w:val="0"/>
          <w:sz w:val="22"/>
          <w:szCs w:val="22"/>
          <w:lang w:val="en" w:bidi="fa-IR"/>
        </w:rPr>
        <w:t>artificial intelligence, virtual reality, nursing decision</w:t>
      </w:r>
      <w:r w:rsidRPr="002E32F0">
        <w:rPr>
          <w:rFonts w:eastAsia="Calibri" w:cs="Times New Roman"/>
          <w:i/>
          <w:iCs/>
          <w:noProof w:val="0"/>
          <w:sz w:val="22"/>
          <w:szCs w:val="22"/>
          <w:lang w:val="en" w:bidi="fa-IR"/>
        </w:rPr>
        <w:noBreakHyphen/>
        <w:t>making, critical care, emergency nursing,</w:t>
      </w:r>
      <w:r w:rsidRPr="002E32F0">
        <w:rPr>
          <w:rFonts w:eastAsia="Calibri" w:cs="Times New Roman"/>
          <w:noProof w:val="0"/>
          <w:sz w:val="22"/>
          <w:szCs w:val="22"/>
          <w:lang w:val="en" w:bidi="fa-IR"/>
        </w:rPr>
        <w:t xml:space="preserve"> and </w:t>
      </w:r>
      <w:r w:rsidRPr="002E32F0">
        <w:rPr>
          <w:rFonts w:eastAsia="Calibri" w:cs="Times New Roman"/>
          <w:i/>
          <w:iCs/>
          <w:noProof w:val="0"/>
          <w:sz w:val="22"/>
          <w:szCs w:val="22"/>
          <w:lang w:val="en" w:bidi="fa-IR"/>
        </w:rPr>
        <w:t>simulation training.</w:t>
      </w:r>
      <w:r w:rsidRPr="002E32F0">
        <w:rPr>
          <w:rFonts w:eastAsia="Calibri" w:cs="Times New Roman"/>
          <w:noProof w:val="0"/>
          <w:sz w:val="22"/>
          <w:szCs w:val="22"/>
          <w:lang w:val="en" w:bidi="fa-IR"/>
        </w:rPr>
        <w:t xml:space="preserve"> Both quantitative and qualitative investigations, as well as mixed</w:t>
      </w:r>
      <w:r w:rsidRPr="002E32F0">
        <w:rPr>
          <w:rFonts w:eastAsia="Calibri" w:cs="Times New Roman"/>
          <w:noProof w:val="0"/>
          <w:sz w:val="22"/>
          <w:szCs w:val="22"/>
          <w:lang w:val="en" w:bidi="fa-IR"/>
        </w:rPr>
        <w:noBreakHyphen/>
        <w:t>methods trials, were included. Methodological quality was appraised using Joanna Briggs Institute criteria, and outcomes were synthesized through an integrative analytical framework.</w:t>
      </w:r>
    </w:p>
    <w:p w14:paraId="0819D180" w14:textId="4AAF2223" w:rsidR="002E32F0" w:rsidRPr="002E32F0" w:rsidRDefault="002E32F0" w:rsidP="002E32F0">
      <w:pPr>
        <w:spacing w:after="160" w:line="259" w:lineRule="auto"/>
        <w:jc w:val="both"/>
        <w:rPr>
          <w:rFonts w:eastAsia="Calibri" w:cs="Times New Roman"/>
          <w:b/>
          <w:bCs/>
          <w:noProof w:val="0"/>
          <w:sz w:val="22"/>
          <w:szCs w:val="22"/>
          <w:lang w:val="en" w:bidi="fa-IR"/>
        </w:rPr>
      </w:pPr>
      <w:r w:rsidRPr="002E32F0">
        <w:rPr>
          <w:rFonts w:eastAsia="Calibri" w:cs="Times New Roman"/>
          <w:b/>
          <w:bCs/>
          <w:noProof w:val="0"/>
          <w:sz w:val="22"/>
          <w:szCs w:val="22"/>
          <w:lang w:val="en" w:bidi="fa-IR"/>
        </w:rPr>
        <w:t>Results:</w:t>
      </w:r>
      <w:r>
        <w:rPr>
          <w:rFonts w:eastAsia="Calibri" w:cs="Times New Roman"/>
          <w:noProof w:val="0"/>
          <w:sz w:val="22"/>
          <w:szCs w:val="22"/>
          <w:lang w:val="en" w:bidi="fa-IR"/>
        </w:rPr>
        <w:t xml:space="preserve"> </w:t>
      </w:r>
      <w:r w:rsidRPr="002E32F0">
        <w:rPr>
          <w:rFonts w:eastAsia="Calibri" w:cs="Times New Roman"/>
          <w:noProof w:val="0"/>
          <w:sz w:val="22"/>
          <w:szCs w:val="22"/>
          <w:lang w:val="en" w:bidi="fa-IR"/>
        </w:rPr>
        <w:t>A total of 29 studies met inclusion criteria, revealing consistent evidence that advanced AI decision</w:t>
      </w:r>
      <w:r w:rsidRPr="002E32F0">
        <w:rPr>
          <w:rFonts w:eastAsia="Calibri" w:cs="Times New Roman"/>
          <w:noProof w:val="0"/>
          <w:sz w:val="22"/>
          <w:szCs w:val="22"/>
          <w:lang w:val="en" w:bidi="fa-IR"/>
        </w:rPr>
        <w:noBreakHyphen/>
        <w:t>support systems—such as predictive alert algorithms and diagnostic neural networks—significantly improved nurses’ response time, diagnostic accuracy, and prioritization during crises. VR interventions, including immersive simulation and augmented training modules, enhanced cognitive adaptability, risk recognition, and situational awareness under stress. Studies highlighted that combined AI</w:t>
      </w:r>
      <w:r w:rsidRPr="002E32F0">
        <w:rPr>
          <w:rFonts w:eastAsia="Calibri" w:cs="Times New Roman"/>
          <w:noProof w:val="0"/>
          <w:sz w:val="22"/>
          <w:szCs w:val="22"/>
          <w:lang w:val="en" w:bidi="fa-IR"/>
        </w:rPr>
        <w:noBreakHyphen/>
        <w:t>VR frameworks yielded superior results by bridging experiential learning with real</w:t>
      </w:r>
      <w:r w:rsidRPr="002E32F0">
        <w:rPr>
          <w:rFonts w:eastAsia="Calibri" w:cs="Times New Roman"/>
          <w:noProof w:val="0"/>
          <w:sz w:val="22"/>
          <w:szCs w:val="22"/>
          <w:lang w:val="en" w:bidi="fa-IR"/>
        </w:rPr>
        <w:noBreakHyphen/>
        <w:t>time analytics. Despite promising findings, gaps remained regarding ethical considerations, technological access, and integration into routine clinical workflows.</w:t>
      </w:r>
    </w:p>
    <w:p w14:paraId="0A43AF91" w14:textId="4AF6A836" w:rsidR="002E32F0" w:rsidRPr="002E32F0" w:rsidRDefault="002E32F0" w:rsidP="002E32F0">
      <w:pPr>
        <w:spacing w:after="160" w:line="259" w:lineRule="auto"/>
        <w:jc w:val="both"/>
        <w:rPr>
          <w:rFonts w:eastAsia="Calibri" w:cs="Times New Roman"/>
          <w:b/>
          <w:bCs/>
          <w:noProof w:val="0"/>
          <w:sz w:val="22"/>
          <w:szCs w:val="22"/>
          <w:lang w:val="en" w:bidi="fa-IR"/>
        </w:rPr>
      </w:pPr>
      <w:r w:rsidRPr="002E32F0">
        <w:rPr>
          <w:rFonts w:eastAsia="Calibri" w:cs="Times New Roman"/>
          <w:b/>
          <w:bCs/>
          <w:noProof w:val="0"/>
          <w:sz w:val="22"/>
          <w:szCs w:val="22"/>
          <w:lang w:val="en" w:bidi="fa-IR"/>
        </w:rPr>
        <w:t>Conclusion:</w:t>
      </w:r>
      <w:r>
        <w:rPr>
          <w:rFonts w:eastAsia="Calibri" w:cs="Times New Roman"/>
          <w:noProof w:val="0"/>
          <w:sz w:val="22"/>
          <w:szCs w:val="22"/>
          <w:lang w:val="en" w:bidi="fa-IR"/>
        </w:rPr>
        <w:t xml:space="preserve"> </w:t>
      </w:r>
      <w:r w:rsidRPr="002E32F0">
        <w:rPr>
          <w:rFonts w:eastAsia="Calibri" w:cs="Times New Roman"/>
          <w:noProof w:val="0"/>
          <w:sz w:val="22"/>
          <w:szCs w:val="22"/>
          <w:lang w:val="en" w:bidi="fa-IR"/>
        </w:rPr>
        <w:t>AI and VR technologies represent powerful catalysts for strengthening nurses’ decision</w:t>
      </w:r>
      <w:r w:rsidRPr="002E32F0">
        <w:rPr>
          <w:rFonts w:eastAsia="Calibri" w:cs="Times New Roman"/>
          <w:noProof w:val="0"/>
          <w:sz w:val="22"/>
          <w:szCs w:val="22"/>
          <w:lang w:val="en" w:bidi="fa-IR"/>
        </w:rPr>
        <w:noBreakHyphen/>
        <w:t>making capacity in critical conditions. Their synergistic use facilitates evidence</w:t>
      </w:r>
      <w:r w:rsidRPr="002E32F0">
        <w:rPr>
          <w:rFonts w:eastAsia="Calibri" w:cs="Times New Roman"/>
          <w:noProof w:val="0"/>
          <w:sz w:val="22"/>
          <w:szCs w:val="22"/>
          <w:lang w:val="en" w:bidi="fa-IR"/>
        </w:rPr>
        <w:noBreakHyphen/>
        <w:t>based, confident, and rapid clinical judgments, thereby optimizing patient safety and care outcomes. Future nursing education and policy strategies should emphasize structured AI</w:t>
      </w:r>
      <w:r w:rsidRPr="002E32F0">
        <w:rPr>
          <w:rFonts w:eastAsia="Calibri" w:cs="Times New Roman"/>
          <w:noProof w:val="0"/>
          <w:sz w:val="22"/>
          <w:szCs w:val="22"/>
          <w:lang w:val="en" w:bidi="fa-IR"/>
        </w:rPr>
        <w:noBreakHyphen/>
        <w:t>VR integration supported by ethical governance and interdisciplinary collaboration.</w:t>
      </w:r>
    </w:p>
    <w:p w14:paraId="61B30798" w14:textId="77777777" w:rsidR="002E32F0" w:rsidRPr="002E32F0" w:rsidRDefault="002E32F0" w:rsidP="002E32F0">
      <w:pPr>
        <w:spacing w:after="160" w:line="259" w:lineRule="auto"/>
        <w:jc w:val="both"/>
        <w:rPr>
          <w:rFonts w:eastAsia="Calibri" w:cs="Times New Roman"/>
          <w:noProof w:val="0"/>
          <w:sz w:val="22"/>
          <w:szCs w:val="22"/>
          <w:lang w:val="en" w:bidi="fa-IR"/>
        </w:rPr>
      </w:pPr>
      <w:bookmarkStart w:id="0" w:name="_GoBack"/>
      <w:r w:rsidRPr="002E32F0">
        <w:rPr>
          <w:rFonts w:eastAsia="Calibri" w:cs="Times New Roman"/>
          <w:b/>
          <w:bCs/>
          <w:noProof w:val="0"/>
          <w:sz w:val="22"/>
          <w:szCs w:val="22"/>
          <w:lang w:val="en" w:bidi="fa-IR"/>
        </w:rPr>
        <w:t xml:space="preserve">Keywords: </w:t>
      </w:r>
      <w:r w:rsidRPr="002E32F0">
        <w:rPr>
          <w:rFonts w:eastAsia="Calibri" w:cs="Times New Roman"/>
          <w:noProof w:val="0"/>
          <w:sz w:val="22"/>
          <w:szCs w:val="22"/>
          <w:lang w:val="en" w:bidi="fa-IR"/>
        </w:rPr>
        <w:t>Artificial Intelligence; Virtual Reality; Nursing Decision</w:t>
      </w:r>
      <w:r w:rsidRPr="002E32F0">
        <w:rPr>
          <w:rFonts w:eastAsia="Calibri" w:cs="Times New Roman"/>
          <w:noProof w:val="0"/>
          <w:sz w:val="22"/>
          <w:szCs w:val="22"/>
          <w:lang w:val="en" w:bidi="fa-IR"/>
        </w:rPr>
        <w:noBreakHyphen/>
        <w:t>Making; Critical Care; Emergency Nursing; Simulation; Systematic Review.</w:t>
      </w:r>
    </w:p>
    <w:bookmarkEnd w:id="0"/>
    <w:p w14:paraId="2AA3ECC0" w14:textId="77777777" w:rsidR="00992AEA" w:rsidRPr="004858A4" w:rsidRDefault="00992AEA" w:rsidP="002E32F0">
      <w:pPr>
        <w:spacing w:after="160" w:line="259" w:lineRule="auto"/>
        <w:jc w:val="both"/>
      </w:pPr>
    </w:p>
    <w:sectPr w:rsidR="00992AEA" w:rsidRPr="004858A4" w:rsidSect="004858A4">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BE153" w14:textId="77777777" w:rsidR="003E404E" w:rsidRDefault="003E404E">
      <w:r>
        <w:separator/>
      </w:r>
    </w:p>
  </w:endnote>
  <w:endnote w:type="continuationSeparator" w:id="0">
    <w:p w14:paraId="5F5E939F" w14:textId="77777777" w:rsidR="003E404E" w:rsidRDefault="003E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0FF16154"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E623B3">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44EB1" w14:textId="77777777" w:rsidR="003E404E" w:rsidRDefault="003E404E" w:rsidP="0010114F">
      <w:pPr>
        <w:bidi/>
      </w:pPr>
      <w:r>
        <w:separator/>
      </w:r>
    </w:p>
  </w:footnote>
  <w:footnote w:type="continuationSeparator" w:id="0">
    <w:p w14:paraId="675F9917" w14:textId="77777777" w:rsidR="003E404E" w:rsidRDefault="003E40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2F0"/>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E404E"/>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58A4"/>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23B3"/>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6C89"/>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0A53"/>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41296826">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46542335">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DB337-7782-487C-83B7-41C0F9DB7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GIGA</cp:lastModifiedBy>
  <cp:revision>4</cp:revision>
  <cp:lastPrinted>2007-05-16T03:26:00Z</cp:lastPrinted>
  <dcterms:created xsi:type="dcterms:W3CDTF">2025-11-14T13:39:00Z</dcterms:created>
  <dcterms:modified xsi:type="dcterms:W3CDTF">2025-11-14T14:12:00Z</dcterms:modified>
</cp:coreProperties>
</file>